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F8C3" w14:textId="77777777" w:rsidR="00045FF9" w:rsidRPr="003A60D7" w:rsidRDefault="00C61C4F" w:rsidP="00045FF9">
      <w:pPr>
        <w:pStyle w:val="BodyTex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3A60D7">
        <w:rPr>
          <w:rFonts w:ascii="Times New Roman" w:hAnsi="Times New Roman" w:cs="Times New Roman"/>
          <w:noProof/>
          <w:sz w:val="22"/>
          <w:szCs w:val="22"/>
          <w:lang w:val="pl-PL" w:eastAsia="pl-PL"/>
        </w:rPr>
        <w:drawing>
          <wp:inline distT="0" distB="0" distL="0" distR="0" wp14:anchorId="41068A96" wp14:editId="32FF6087">
            <wp:extent cx="1743075" cy="484098"/>
            <wp:effectExtent l="0" t="0" r="0" b="0"/>
            <wp:docPr id="1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76051" name="image1.png" descr="A picture containing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244" cy="4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0F42" w14:textId="77777777" w:rsidR="00045FF9" w:rsidRPr="00062223" w:rsidRDefault="009D68B1" w:rsidP="00045FF9">
      <w:pPr>
        <w:pStyle w:val="BodyText"/>
        <w:spacing w:before="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0A26F230">
          <v:line id="Line 31" o:spid="_x0000_s1027" alt="" style="position:absolute;left:0;text-align:left;z-index:251659264;visibility:visible;mso-wrap-edited:f;mso-width-percent:0;mso-height-percent:0;mso-wrap-distance-left:0;mso-wrap-distance-right:0;mso-position-horizontal-relative:page;mso-width-percent:0;mso-height-percent:0" from="75.55pt,9.8pt" to="547.85pt,9.8pt" strokecolor="#666" strokeweight="1.5pt">
            <w10:wrap type="topAndBottom" anchorx="page"/>
          </v:line>
        </w:pict>
      </w:r>
      <w:r w:rsidR="00CD2632">
        <w:rPr>
          <w:rFonts w:ascii="Times New Roman" w:hAnsi="Times New Roman" w:cs="Times New Roman"/>
          <w:b/>
          <w:bCs/>
          <w:noProof/>
          <w:sz w:val="22"/>
          <w:szCs w:val="22"/>
        </w:rPr>
        <w:t>Политика соблюдения Директивы Европейского Союза о</w:t>
      </w:r>
      <w:r w:rsidR="00052835">
        <w:rPr>
          <w:rFonts w:ascii="Times New Roman" w:hAnsi="Times New Roman" w:cs="Times New Roman"/>
          <w:b/>
          <w:bCs/>
          <w:noProof/>
          <w:sz w:val="22"/>
          <w:szCs w:val="22"/>
        </w:rPr>
        <w:t>б</w:t>
      </w:r>
      <w:r w:rsidR="00CD2632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информаторах</w:t>
      </w:r>
    </w:p>
    <w:p w14:paraId="522E1637" w14:textId="77777777" w:rsidR="00045FF9" w:rsidRPr="00052835" w:rsidRDefault="009D68B1" w:rsidP="00B5092D">
      <w:pPr>
        <w:pStyle w:val="BodyText"/>
        <w:tabs>
          <w:tab w:val="left" w:pos="5040"/>
        </w:tabs>
        <w:spacing w:before="4"/>
        <w:contextualSpacing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noProof/>
          <w:sz w:val="20"/>
          <w:szCs w:val="22"/>
        </w:rPr>
        <w:pict w14:anchorId="2DECC842">
          <v:line id="Line 30" o:spid="_x0000_s1026" alt="" style="position:absolute;z-index:251661312;visibility:visible;mso-wrap-edited:f;mso-width-percent:0;mso-height-percent:0;mso-wrap-distance-left:0;mso-wrap-distance-right:0;mso-position-horizontal-relative:page;mso-width-percent:0;mso-height-percent:0" from="75.05pt,8.5pt" to="548.35pt,8.5pt" strokecolor="#666" strokeweight="1.06pt">
            <w10:wrap type="topAndBottom" anchorx="page"/>
          </v:line>
        </w:pict>
      </w:r>
      <w:proofErr w:type="spellStart"/>
      <w:r w:rsidR="00C61C4F" w:rsidRPr="00052835">
        <w:rPr>
          <w:rFonts w:ascii="Times New Roman" w:hAnsi="Times New Roman" w:cs="Times New Roman"/>
          <w:b/>
          <w:sz w:val="20"/>
          <w:szCs w:val="22"/>
        </w:rPr>
        <w:t>Категория</w:t>
      </w:r>
      <w:proofErr w:type="spellEnd"/>
      <w:r w:rsidR="00C61C4F" w:rsidRPr="00052835">
        <w:rPr>
          <w:rFonts w:ascii="Times New Roman" w:hAnsi="Times New Roman" w:cs="Times New Roman"/>
          <w:b/>
          <w:sz w:val="20"/>
          <w:szCs w:val="22"/>
        </w:rPr>
        <w:t xml:space="preserve">: </w:t>
      </w:r>
      <w:r w:rsidR="00172EF3">
        <w:rPr>
          <w:rFonts w:ascii="Times New Roman" w:hAnsi="Times New Roman" w:cs="Times New Roman"/>
          <w:sz w:val="20"/>
          <w:szCs w:val="22"/>
          <w:lang w:val="ru-RU"/>
        </w:rPr>
        <w:t>Структурное подразделение</w:t>
      </w:r>
      <w:r w:rsidR="00172EF3">
        <w:rPr>
          <w:rFonts w:ascii="Times New Roman" w:hAnsi="Times New Roman" w:cs="Times New Roman"/>
          <w:sz w:val="20"/>
          <w:szCs w:val="22"/>
        </w:rPr>
        <w:t xml:space="preserve">                           </w:t>
      </w:r>
      <w:proofErr w:type="spellStart"/>
      <w:r w:rsidR="00C61C4F" w:rsidRPr="00052835">
        <w:rPr>
          <w:rFonts w:ascii="Times New Roman" w:hAnsi="Times New Roman" w:cs="Times New Roman"/>
          <w:b/>
          <w:sz w:val="20"/>
          <w:szCs w:val="22"/>
        </w:rPr>
        <w:t>Дата</w:t>
      </w:r>
      <w:proofErr w:type="spellEnd"/>
      <w:r w:rsidR="00C61C4F" w:rsidRPr="00052835">
        <w:rPr>
          <w:rFonts w:ascii="Times New Roman" w:hAnsi="Times New Roman" w:cs="Times New Roman"/>
          <w:b/>
          <w:sz w:val="20"/>
          <w:szCs w:val="22"/>
        </w:rPr>
        <w:t xml:space="preserve"> </w:t>
      </w:r>
      <w:proofErr w:type="spellStart"/>
      <w:r w:rsidR="00C61C4F" w:rsidRPr="00052835">
        <w:rPr>
          <w:rFonts w:ascii="Times New Roman" w:hAnsi="Times New Roman" w:cs="Times New Roman"/>
          <w:b/>
          <w:sz w:val="20"/>
          <w:szCs w:val="22"/>
        </w:rPr>
        <w:t>создания</w:t>
      </w:r>
      <w:proofErr w:type="spellEnd"/>
      <w:r w:rsidR="00C61C4F" w:rsidRPr="00052835">
        <w:rPr>
          <w:rFonts w:ascii="Times New Roman" w:hAnsi="Times New Roman" w:cs="Times New Roman"/>
          <w:b/>
          <w:sz w:val="20"/>
          <w:szCs w:val="22"/>
        </w:rPr>
        <w:t xml:space="preserve">: </w:t>
      </w:r>
      <w:proofErr w:type="spellStart"/>
      <w:r w:rsidR="00052835">
        <w:rPr>
          <w:sz w:val="22"/>
        </w:rPr>
        <w:t>а</w:t>
      </w:r>
      <w:r w:rsidR="00B5092D" w:rsidRPr="00052835">
        <w:rPr>
          <w:sz w:val="22"/>
        </w:rPr>
        <w:t>вгуст</w:t>
      </w:r>
      <w:proofErr w:type="spellEnd"/>
      <w:r w:rsidR="00B5092D" w:rsidRPr="00052835">
        <w:rPr>
          <w:sz w:val="22"/>
        </w:rPr>
        <w:t xml:space="preserve"> 2022 </w:t>
      </w:r>
      <w:proofErr w:type="spellStart"/>
      <w:r w:rsidR="00B5092D" w:rsidRPr="00052835">
        <w:rPr>
          <w:sz w:val="22"/>
        </w:rPr>
        <w:t>года</w:t>
      </w:r>
      <w:proofErr w:type="spellEnd"/>
    </w:p>
    <w:p w14:paraId="4D172182" w14:textId="77777777" w:rsidR="00045FF9" w:rsidRPr="00052835" w:rsidRDefault="00C61C4F" w:rsidP="00B5092D">
      <w:pPr>
        <w:tabs>
          <w:tab w:val="left" w:pos="5040"/>
          <w:tab w:val="left" w:pos="5670"/>
        </w:tabs>
        <w:contextualSpacing/>
        <w:rPr>
          <w:rFonts w:ascii="Times New Roman" w:hAnsi="Times New Roman" w:cs="Times New Roman"/>
          <w:b/>
          <w:sz w:val="20"/>
        </w:rPr>
      </w:pPr>
      <w:proofErr w:type="spellStart"/>
      <w:r w:rsidRPr="00052835">
        <w:rPr>
          <w:rFonts w:ascii="Times New Roman" w:hAnsi="Times New Roman" w:cs="Times New Roman"/>
          <w:b/>
          <w:sz w:val="20"/>
        </w:rPr>
        <w:t>Ответственный</w:t>
      </w:r>
      <w:proofErr w:type="spellEnd"/>
      <w:r w:rsidRPr="00052835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52835">
        <w:rPr>
          <w:rFonts w:ascii="Times New Roman" w:hAnsi="Times New Roman" w:cs="Times New Roman"/>
          <w:b/>
          <w:sz w:val="20"/>
        </w:rPr>
        <w:t>отдел</w:t>
      </w:r>
      <w:proofErr w:type="spellEnd"/>
      <w:r w:rsidRPr="00052835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="00052835">
        <w:rPr>
          <w:rFonts w:ascii="Times New Roman" w:hAnsi="Times New Roman" w:cs="Times New Roman"/>
          <w:sz w:val="20"/>
        </w:rPr>
        <w:t>Название</w:t>
      </w:r>
      <w:proofErr w:type="spellEnd"/>
      <w:r w:rsidR="0005283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0"/>
        </w:rPr>
        <w:t>отдела</w:t>
      </w:r>
      <w:proofErr w:type="spellEnd"/>
      <w:r w:rsidR="00052835">
        <w:rPr>
          <w:rFonts w:ascii="Times New Roman" w:hAnsi="Times New Roman" w:cs="Times New Roman"/>
          <w:sz w:val="20"/>
        </w:rPr>
        <w:t xml:space="preserve">                          </w:t>
      </w:r>
      <w:proofErr w:type="spellStart"/>
      <w:r w:rsidR="00133297">
        <w:rPr>
          <w:rFonts w:ascii="Times New Roman" w:hAnsi="Times New Roman" w:cs="Times New Roman"/>
          <w:b/>
          <w:sz w:val="20"/>
        </w:rPr>
        <w:t>Дата</w:t>
      </w:r>
      <w:proofErr w:type="spellEnd"/>
      <w:r w:rsidR="00133297">
        <w:rPr>
          <w:rFonts w:ascii="Times New Roman" w:hAnsi="Times New Roman" w:cs="Times New Roman"/>
          <w:b/>
          <w:sz w:val="20"/>
        </w:rPr>
        <w:t xml:space="preserve"> </w:t>
      </w:r>
      <w:r w:rsidR="00133297">
        <w:rPr>
          <w:rFonts w:ascii="Times New Roman" w:hAnsi="Times New Roman" w:cs="Times New Roman"/>
          <w:b/>
          <w:sz w:val="20"/>
          <w:lang w:val="ru-RU"/>
        </w:rPr>
        <w:t>п</w:t>
      </w:r>
      <w:proofErr w:type="spellStart"/>
      <w:r w:rsidRPr="00052835">
        <w:rPr>
          <w:rFonts w:ascii="Times New Roman" w:hAnsi="Times New Roman" w:cs="Times New Roman"/>
          <w:b/>
          <w:sz w:val="20"/>
        </w:rPr>
        <w:t>оследнего</w:t>
      </w:r>
      <w:proofErr w:type="spellEnd"/>
      <w:r w:rsidRPr="00052835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52835">
        <w:rPr>
          <w:rFonts w:ascii="Times New Roman" w:hAnsi="Times New Roman" w:cs="Times New Roman"/>
          <w:b/>
          <w:sz w:val="20"/>
        </w:rPr>
        <w:t>пересмотра</w:t>
      </w:r>
      <w:proofErr w:type="spellEnd"/>
      <w:r w:rsidRPr="00052835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="00052835">
        <w:rPr>
          <w:rFonts w:ascii="Times New Roman" w:hAnsi="Times New Roman" w:cs="Times New Roman"/>
          <w:bCs/>
          <w:sz w:val="20"/>
        </w:rPr>
        <w:t>а</w:t>
      </w:r>
      <w:r w:rsidR="00B5092D" w:rsidRPr="00052835">
        <w:rPr>
          <w:rFonts w:ascii="Times New Roman" w:hAnsi="Times New Roman" w:cs="Times New Roman"/>
          <w:bCs/>
          <w:sz w:val="20"/>
        </w:rPr>
        <w:t>вгуст</w:t>
      </w:r>
      <w:proofErr w:type="spellEnd"/>
      <w:r w:rsidR="00B5092D" w:rsidRPr="00052835">
        <w:rPr>
          <w:rFonts w:ascii="Times New Roman" w:hAnsi="Times New Roman" w:cs="Times New Roman"/>
          <w:bCs/>
          <w:sz w:val="20"/>
        </w:rPr>
        <w:t xml:space="preserve"> 2022</w:t>
      </w:r>
      <w:r w:rsidR="00052835">
        <w:rPr>
          <w:rFonts w:ascii="Times New Roman" w:hAnsi="Times New Roman" w:cs="Times New Roman"/>
          <w:bCs/>
          <w:sz w:val="20"/>
        </w:rPr>
        <w:t xml:space="preserve"> г.</w:t>
      </w:r>
    </w:p>
    <w:p w14:paraId="0B6D56CA" w14:textId="77777777" w:rsidR="00045FF9" w:rsidRPr="00052835" w:rsidRDefault="00133297" w:rsidP="00B5092D">
      <w:pPr>
        <w:tabs>
          <w:tab w:val="left" w:pos="5040"/>
          <w:tab w:val="left" w:pos="5940"/>
        </w:tabs>
        <w:spacing w:before="120"/>
        <w:contextualSpacing/>
        <w:rPr>
          <w:rFonts w:ascii="Times New Roman" w:hAnsi="Times New Roman" w:cs="Times New Roman"/>
          <w:bCs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Ответственн</w:t>
      </w:r>
      <w:proofErr w:type="spellEnd"/>
      <w:r>
        <w:rPr>
          <w:rFonts w:ascii="Times New Roman" w:hAnsi="Times New Roman" w:cs="Times New Roman"/>
          <w:b/>
          <w:sz w:val="20"/>
          <w:lang w:val="ru-RU"/>
        </w:rPr>
        <w:t>ое лицо</w:t>
      </w:r>
      <w:r w:rsidR="00C61C4F" w:rsidRPr="00052835">
        <w:rPr>
          <w:rFonts w:ascii="Times New Roman" w:hAnsi="Times New Roman" w:cs="Times New Roman"/>
          <w:b/>
          <w:sz w:val="20"/>
        </w:rPr>
        <w:t xml:space="preserve">: </w:t>
      </w:r>
      <w:proofErr w:type="spellStart"/>
      <w:r w:rsidR="00052835">
        <w:rPr>
          <w:rFonts w:ascii="Times New Roman" w:hAnsi="Times New Roman" w:cs="Times New Roman"/>
          <w:sz w:val="20"/>
        </w:rPr>
        <w:t>Эхсан</w:t>
      </w:r>
      <w:proofErr w:type="spellEnd"/>
      <w:r w:rsidR="0005283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0"/>
        </w:rPr>
        <w:t>Заргар</w:t>
      </w:r>
      <w:proofErr w:type="spellEnd"/>
      <w:r w:rsidR="00052835">
        <w:rPr>
          <w:rFonts w:ascii="Times New Roman" w:hAnsi="Times New Roman" w:cs="Times New Roman"/>
          <w:sz w:val="20"/>
        </w:rPr>
        <w:t xml:space="preserve">                  </w:t>
      </w:r>
      <w:r>
        <w:rPr>
          <w:rFonts w:ascii="Times New Roman" w:hAnsi="Times New Roman" w:cs="Times New Roman"/>
          <w:sz w:val="20"/>
          <w:lang w:val="ru-RU"/>
        </w:rPr>
        <w:t xml:space="preserve">                </w:t>
      </w:r>
      <w:proofErr w:type="spellStart"/>
      <w:r w:rsidR="00C61C4F" w:rsidRPr="00052835">
        <w:rPr>
          <w:rFonts w:ascii="Times New Roman" w:hAnsi="Times New Roman" w:cs="Times New Roman"/>
          <w:b/>
          <w:sz w:val="20"/>
        </w:rPr>
        <w:t>Да</w:t>
      </w:r>
      <w:r w:rsidR="00052835" w:rsidRPr="00052835">
        <w:rPr>
          <w:rFonts w:ascii="Times New Roman" w:hAnsi="Times New Roman" w:cs="Times New Roman"/>
          <w:b/>
          <w:sz w:val="20"/>
        </w:rPr>
        <w:t>та</w:t>
      </w:r>
      <w:proofErr w:type="spellEnd"/>
      <w:r w:rsidR="00052835" w:rsidRPr="00052835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052835" w:rsidRPr="00052835">
        <w:rPr>
          <w:rFonts w:ascii="Times New Roman" w:hAnsi="Times New Roman" w:cs="Times New Roman"/>
          <w:b/>
          <w:sz w:val="20"/>
        </w:rPr>
        <w:t>публикации</w:t>
      </w:r>
      <w:proofErr w:type="spellEnd"/>
      <w:r w:rsidR="00052835" w:rsidRPr="00052835">
        <w:rPr>
          <w:rFonts w:ascii="Times New Roman" w:hAnsi="Times New Roman" w:cs="Times New Roman"/>
          <w:b/>
          <w:sz w:val="20"/>
        </w:rPr>
        <w:t xml:space="preserve"> в </w:t>
      </w:r>
      <w:proofErr w:type="spellStart"/>
      <w:r w:rsidR="00052835" w:rsidRPr="00052835">
        <w:rPr>
          <w:rFonts w:ascii="Times New Roman" w:hAnsi="Times New Roman" w:cs="Times New Roman"/>
          <w:b/>
          <w:sz w:val="20"/>
        </w:rPr>
        <w:t>Библиотеке</w:t>
      </w:r>
      <w:proofErr w:type="spellEnd"/>
      <w:r w:rsidR="00052835" w:rsidRPr="00052835">
        <w:rPr>
          <w:rFonts w:ascii="Times New Roman" w:hAnsi="Times New Roman" w:cs="Times New Roman"/>
          <w:b/>
          <w:sz w:val="20"/>
        </w:rPr>
        <w:t xml:space="preserve"> SPB: </w:t>
      </w:r>
      <w:proofErr w:type="spellStart"/>
      <w:r w:rsidR="00B5092D" w:rsidRPr="00052835">
        <w:rPr>
          <w:rFonts w:ascii="Times New Roman" w:hAnsi="Times New Roman" w:cs="Times New Roman"/>
          <w:bCs/>
          <w:sz w:val="20"/>
        </w:rPr>
        <w:t>август</w:t>
      </w:r>
      <w:proofErr w:type="spellEnd"/>
      <w:r w:rsidR="00B5092D" w:rsidRPr="00052835">
        <w:rPr>
          <w:rFonts w:ascii="Times New Roman" w:hAnsi="Times New Roman" w:cs="Times New Roman"/>
          <w:bCs/>
          <w:sz w:val="20"/>
        </w:rPr>
        <w:t xml:space="preserve"> 2022</w:t>
      </w:r>
      <w:r w:rsidR="00052835">
        <w:rPr>
          <w:rFonts w:ascii="Times New Roman" w:hAnsi="Times New Roman" w:cs="Times New Roman"/>
          <w:bCs/>
          <w:sz w:val="20"/>
        </w:rPr>
        <w:t>г.</w:t>
      </w:r>
    </w:p>
    <w:p w14:paraId="7CA73FB2" w14:textId="77777777" w:rsidR="00045FF9" w:rsidRPr="003A60D7" w:rsidRDefault="00045FF9" w:rsidP="00045FF9">
      <w:pPr>
        <w:tabs>
          <w:tab w:val="left" w:pos="5490"/>
          <w:tab w:val="left" w:pos="5940"/>
        </w:tabs>
        <w:spacing w:before="120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AF3104" w14:paraId="3737DAB5" w14:textId="77777777" w:rsidTr="009E7712">
        <w:trPr>
          <w:trHeight w:val="260"/>
        </w:trPr>
        <w:tc>
          <w:tcPr>
            <w:tcW w:w="9450" w:type="dxa"/>
          </w:tcPr>
          <w:p w14:paraId="37439856" w14:textId="77777777" w:rsidR="00045FF9" w:rsidRPr="003A60D7" w:rsidRDefault="00C61C4F" w:rsidP="009E7712">
            <w:pPr>
              <w:pStyle w:val="BodyText"/>
              <w:spacing w:before="12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A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Резюме</w:t>
            </w:r>
            <w:proofErr w:type="spellEnd"/>
          </w:p>
        </w:tc>
      </w:tr>
    </w:tbl>
    <w:p w14:paraId="74CE25D2" w14:textId="77777777" w:rsidR="00045FF9" w:rsidRPr="003A60D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</w:p>
    <w:p w14:paraId="238DE1DA" w14:textId="77777777" w:rsidR="00045FF9" w:rsidRPr="003A60D7" w:rsidRDefault="00C61C4F" w:rsidP="00B5092D">
      <w:pPr>
        <w:pStyle w:val="BodyText"/>
        <w:tabs>
          <w:tab w:val="left" w:pos="5040"/>
        </w:tabs>
        <w:spacing w:before="123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Настоящая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соблюдения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Директивы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Европейского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союза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защите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информаторов </w:t>
      </w:r>
      <w:r w:rsidR="00052835">
        <w:rPr>
          <w:rFonts w:ascii="Times New Roman" w:hAnsi="Times New Roman" w:cs="Times New Roman"/>
          <w:sz w:val="22"/>
          <w:szCs w:val="22"/>
        </w:rPr>
        <w:t>(«</w:t>
      </w:r>
      <w:proofErr w:type="spellStart"/>
      <w:r w:rsidRPr="0039618A">
        <w:rPr>
          <w:rFonts w:ascii="Times New Roman" w:hAnsi="Times New Roman" w:cs="Times New Roman"/>
          <w:sz w:val="22"/>
          <w:szCs w:val="22"/>
          <w:u w:val="single"/>
        </w:rPr>
        <w:t>Политика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>»</w:t>
      </w:r>
      <w:r w:rsidRPr="003A60D7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устанавливает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политику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компании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r w:rsidRPr="003A60D7">
        <w:rPr>
          <w:rFonts w:ascii="Times New Roman" w:hAnsi="Times New Roman" w:cs="Times New Roman"/>
          <w:sz w:val="22"/>
          <w:szCs w:val="22"/>
        </w:rPr>
        <w:t xml:space="preserve">Spectrum Brands Holdings, Inc. и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ее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контролируемых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филиалов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дочерних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компаний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</w:t>
      </w:r>
      <w:r w:rsidR="00052835">
        <w:rPr>
          <w:rFonts w:ascii="Times New Roman" w:hAnsi="Times New Roman" w:cs="Times New Roman"/>
          <w:sz w:val="22"/>
          <w:szCs w:val="22"/>
        </w:rPr>
        <w:t>вместно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именуемых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«</w:t>
      </w:r>
      <w:r w:rsidRPr="003A60D7">
        <w:rPr>
          <w:rFonts w:ascii="Times New Roman" w:hAnsi="Times New Roman" w:cs="Times New Roman"/>
          <w:sz w:val="22"/>
          <w:szCs w:val="22"/>
          <w:u w:val="single"/>
        </w:rPr>
        <w:t>Spectrum Brands</w:t>
      </w:r>
      <w:r w:rsidR="00052835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3A60D7">
        <w:rPr>
          <w:rFonts w:ascii="Times New Roman" w:hAnsi="Times New Roman" w:cs="Times New Roman"/>
          <w:sz w:val="22"/>
          <w:szCs w:val="22"/>
          <w:u w:val="single"/>
        </w:rPr>
        <w:t>Компания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») с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целью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полного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соблюдения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Директивы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Европейского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союза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(«</w:t>
      </w:r>
      <w:r w:rsidR="00EF21C3">
        <w:rPr>
          <w:rFonts w:ascii="Times New Roman" w:hAnsi="Times New Roman" w:cs="Times New Roman"/>
          <w:sz w:val="22"/>
          <w:szCs w:val="22"/>
          <w:u w:val="single"/>
        </w:rPr>
        <w:t>ЕС</w:t>
      </w:r>
      <w:r w:rsidR="00052835">
        <w:rPr>
          <w:rFonts w:ascii="Times New Roman" w:hAnsi="Times New Roman" w:cs="Times New Roman"/>
          <w:sz w:val="22"/>
          <w:szCs w:val="22"/>
        </w:rPr>
        <w:t>»</w:t>
      </w:r>
      <w:r w:rsidR="00EF21C3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3A60D7">
        <w:rPr>
          <w:rFonts w:ascii="Times New Roman" w:hAnsi="Times New Roman" w:cs="Times New Roman"/>
          <w:sz w:val="22"/>
          <w:szCs w:val="22"/>
        </w:rPr>
        <w:t xml:space="preserve"> 2019/1937,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Директива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ЕС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</w:t>
      </w:r>
      <w:r w:rsidR="00052835">
        <w:rPr>
          <w:rFonts w:ascii="Times New Roman" w:hAnsi="Times New Roman" w:cs="Times New Roman"/>
          <w:sz w:val="22"/>
          <w:szCs w:val="22"/>
        </w:rPr>
        <w:t>б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информаторах </w:t>
      </w:r>
      <w:r w:rsidR="00052835">
        <w:rPr>
          <w:rFonts w:ascii="Times New Roman" w:hAnsi="Times New Roman" w:cs="Times New Roman"/>
          <w:sz w:val="22"/>
          <w:szCs w:val="22"/>
        </w:rPr>
        <w:t>(«</w:t>
      </w:r>
      <w:proofErr w:type="spellStart"/>
      <w:r w:rsidR="007F2B2C">
        <w:rPr>
          <w:rFonts w:ascii="Times New Roman" w:hAnsi="Times New Roman" w:cs="Times New Roman"/>
          <w:sz w:val="22"/>
          <w:szCs w:val="22"/>
          <w:u w:val="single"/>
        </w:rPr>
        <w:t>Директива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>»</w:t>
      </w:r>
      <w:r w:rsidRPr="003A60D7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Эта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 xml:space="preserve">является руководством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как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Информаторов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как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определено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настоящей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так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и 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 xml:space="preserve">для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тех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кто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отвечает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получение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33297">
        <w:rPr>
          <w:rFonts w:ascii="Times New Roman" w:hAnsi="Times New Roman" w:cs="Times New Roman"/>
          <w:sz w:val="22"/>
          <w:szCs w:val="22"/>
        </w:rPr>
        <w:t>расследование</w:t>
      </w:r>
      <w:proofErr w:type="spellEnd"/>
      <w:r w:rsidRPr="00133297">
        <w:rPr>
          <w:rFonts w:ascii="Times New Roman" w:hAnsi="Times New Roman" w:cs="Times New Roman"/>
          <w:sz w:val="22"/>
          <w:szCs w:val="22"/>
        </w:rPr>
        <w:t xml:space="preserve"> </w:t>
      </w:r>
      <w:r w:rsidR="00133297" w:rsidRPr="00133297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 xml:space="preserve">ообщений </w:t>
      </w:r>
      <w:r w:rsidR="00133297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последующ</w:t>
      </w:r>
      <w:proofErr w:type="spellEnd"/>
      <w:r w:rsidR="00133297">
        <w:rPr>
          <w:rFonts w:ascii="Times New Roman" w:hAnsi="Times New Roman" w:cs="Times New Roman"/>
          <w:sz w:val="22"/>
          <w:szCs w:val="22"/>
          <w:lang w:val="ru-RU"/>
        </w:rPr>
        <w:t xml:space="preserve">ие действия в этом отношении </w:t>
      </w:r>
      <w:r w:rsidRPr="003A60D7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соответствии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настоящей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Политикой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>.</w:t>
      </w:r>
    </w:p>
    <w:p w14:paraId="151E25B7" w14:textId="77777777" w:rsidR="00045FF9" w:rsidRPr="003A60D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AF3104" w14:paraId="5F15B045" w14:textId="77777777" w:rsidTr="009E7712">
        <w:tc>
          <w:tcPr>
            <w:tcW w:w="9450" w:type="dxa"/>
          </w:tcPr>
          <w:p w14:paraId="409995D4" w14:textId="77777777" w:rsidR="00045FF9" w:rsidRPr="003A60D7" w:rsidRDefault="00052835" w:rsidP="009E7712">
            <w:pPr>
              <w:pStyle w:val="BodyText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применения</w:t>
            </w:r>
            <w:proofErr w:type="spellEnd"/>
          </w:p>
        </w:tc>
      </w:tr>
    </w:tbl>
    <w:p w14:paraId="5E182121" w14:textId="77777777" w:rsidR="00045FF9" w:rsidRPr="003A60D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</w:p>
    <w:p w14:paraId="5EBBD590" w14:textId="77777777" w:rsidR="00986018" w:rsidRPr="00986018" w:rsidRDefault="00C61C4F" w:rsidP="00986018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Эта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распространяется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всех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сотрудников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Spectrum Brands,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работающих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Европейском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Союзе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включая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сотрудников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занятых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полный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рабочий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день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неполный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рабочий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день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временных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сезонных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нанятых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ограниченный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срок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также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стажеров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подрядчиков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действующих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имени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Spectrum Brands.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также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защищает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лиц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которые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еще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работают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в Spectrum Brands,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информация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которую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они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хотят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сообщить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получена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процессе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найма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преддоговорных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переговоров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.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некоторых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странах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могут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действовать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требования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местного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законодательства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которые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отличаются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требований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настоящей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выходят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ее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рамки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.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этом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случае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дополнительно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будет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применяться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любое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применимое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местное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законодательство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. 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Маловероятно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что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когда-либо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возникнет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какой-либо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конфликт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между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применимым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местным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законодательством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настоящей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Политикой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случае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возникновения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такового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вы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его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выявите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пожалуйста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сообщите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об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этом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компании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r w:rsidRPr="003A60D7">
        <w:rPr>
          <w:rFonts w:ascii="Times New Roman" w:hAnsi="Times New Roman" w:cs="Times New Roman"/>
          <w:sz w:val="22"/>
          <w:szCs w:val="22"/>
        </w:rPr>
        <w:t xml:space="preserve">Spectrum Brands, и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любом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случае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местное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законодательство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будет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иметь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приоритет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над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противоречащим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требование</w:t>
      </w:r>
      <w:r w:rsidRPr="003A60D7">
        <w:rPr>
          <w:rFonts w:ascii="Times New Roman" w:hAnsi="Times New Roman" w:cs="Times New Roman"/>
          <w:sz w:val="22"/>
          <w:szCs w:val="22"/>
        </w:rPr>
        <w:t>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содержащимся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этой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может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предназначена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для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чтобы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охватывать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все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применимые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законы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давать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ответы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все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вопросы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которые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могут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возникнуть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для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этого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мы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должны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конечном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счете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полагаться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добросовестный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подход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каждого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человека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к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выяснению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что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правильно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включая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понимание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того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когда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следует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обратиться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советом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к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относительно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надлежащего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 w:rsidRPr="00133297">
        <w:rPr>
          <w:rFonts w:ascii="Times New Roman" w:hAnsi="Times New Roman" w:cs="Times New Roman"/>
          <w:sz w:val="22"/>
          <w:szCs w:val="22"/>
        </w:rPr>
        <w:t>курса</w:t>
      </w:r>
      <w:proofErr w:type="spellEnd"/>
      <w:r w:rsidR="00052835" w:rsidRP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33297">
        <w:rPr>
          <w:rFonts w:ascii="Times New Roman" w:hAnsi="Times New Roman" w:cs="Times New Roman"/>
          <w:sz w:val="22"/>
          <w:szCs w:val="22"/>
        </w:rPr>
        <w:t>поведения</w:t>
      </w:r>
      <w:proofErr w:type="spellEnd"/>
      <w:r w:rsidRPr="00133297">
        <w:rPr>
          <w:rFonts w:ascii="Times New Roman" w:hAnsi="Times New Roman" w:cs="Times New Roman"/>
          <w:sz w:val="22"/>
          <w:szCs w:val="22"/>
        </w:rPr>
        <w:t>.</w:t>
      </w:r>
    </w:p>
    <w:p w14:paraId="66FCE8B3" w14:textId="77777777" w:rsidR="00045FF9" w:rsidRPr="003A60D7" w:rsidRDefault="00045FF9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F7810BE" w14:textId="77777777" w:rsidR="00045FF9" w:rsidRPr="003A60D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AF3104" w14:paraId="50BF9481" w14:textId="77777777" w:rsidTr="009E7712">
        <w:tc>
          <w:tcPr>
            <w:tcW w:w="9540" w:type="dxa"/>
          </w:tcPr>
          <w:p w14:paraId="0C270A37" w14:textId="77777777" w:rsidR="00045FF9" w:rsidRPr="003A60D7" w:rsidRDefault="00C61C4F" w:rsidP="009E7712">
            <w:pPr>
              <w:pStyle w:val="BodyText"/>
              <w:spacing w:before="2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A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Соблюдение</w:t>
            </w:r>
            <w:proofErr w:type="spellEnd"/>
            <w:r w:rsidRPr="003A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политики</w:t>
            </w:r>
            <w:proofErr w:type="spellEnd"/>
          </w:p>
        </w:tc>
      </w:tr>
    </w:tbl>
    <w:p w14:paraId="60B0FF5D" w14:textId="77777777" w:rsidR="00045FF9" w:rsidRPr="003A60D7" w:rsidRDefault="00045FF9" w:rsidP="00045FF9">
      <w:pPr>
        <w:pStyle w:val="BodyText"/>
        <w:spacing w:before="2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01417F36" w14:textId="77777777" w:rsidR="00045FF9" w:rsidRPr="003A60D7" w:rsidRDefault="00C61C4F" w:rsidP="00045FF9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Справочная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информация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резюме</w:t>
      </w:r>
      <w:proofErr w:type="spellEnd"/>
    </w:p>
    <w:p w14:paraId="48B9E7B9" w14:textId="77777777" w:rsidR="00045FF9" w:rsidRPr="003A60D7" w:rsidRDefault="00045FF9" w:rsidP="00045FF9">
      <w:pPr>
        <w:pStyle w:val="BodyText"/>
        <w:spacing w:before="2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1EFB8B63" w14:textId="77777777" w:rsidR="003763E3" w:rsidRPr="00DC0AEB" w:rsidRDefault="00052835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</w:rPr>
      </w:pPr>
      <w:r>
        <w:rPr>
          <w:rFonts w:ascii="Times New Roman" w:eastAsia="Times New Roman" w:hAnsi="Times New Roman" w:cs="Times New Roman"/>
          <w:spacing w:val="8"/>
          <w:sz w:val="22"/>
          <w:szCs w:val="22"/>
        </w:rPr>
        <w:t>«</w:t>
      </w:r>
      <w:r w:rsidR="00062223">
        <w:rPr>
          <w:rFonts w:ascii="Times New Roman" w:eastAsia="Times New Roman" w:hAnsi="Times New Roman" w:cs="Times New Roman"/>
          <w:spacing w:val="8"/>
          <w:sz w:val="22"/>
          <w:szCs w:val="22"/>
          <w:u w:val="single"/>
          <w:lang w:val="ru-RU"/>
        </w:rPr>
        <w:t>Информаторы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>»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-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это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лица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которые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сообщают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о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нарушениях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законодательства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или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нормативных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актов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ЕС,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касающихся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в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частности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но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не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ограничив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аясь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ими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следующих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областей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: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1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государственные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закупки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2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финансовые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услуги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продукты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рынки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а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также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предотвращение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отмывания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денег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или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финансирования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терроризма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3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безопаснос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ть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соответствие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продукции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4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безопасность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на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транспорте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5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защита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окружающей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среды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; 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lastRenderedPageBreak/>
        <w:t>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6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радиационная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защ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ита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ядерная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безопасность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7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безопасность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пищевых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продуктов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кормов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включая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здоровь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благополучие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животных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8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о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бщественное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здравоохранение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9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защита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потребителей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10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защита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конфиденциальности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персональных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данных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включая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безопасность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сете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вых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информационных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систем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11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нарушения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затрагивающие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фина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нсовые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>интересы</w:t>
      </w:r>
      <w:proofErr w:type="spellEnd"/>
      <w:r w:rsidR="00133297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ЕС; (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>12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)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другие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нарушения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связанные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с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внутренним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рынком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ЕС,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включая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правила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конкуренции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государственной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помощи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ЕС (в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совокупности</w:t>
      </w:r>
      <w:proofErr w:type="spellEnd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име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нуемые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«</w:t>
      </w:r>
      <w:proofErr w:type="spellStart"/>
      <w:r w:rsidR="00DC0AEB">
        <w:rPr>
          <w:rFonts w:ascii="Times New Roman" w:eastAsia="Times New Roman" w:hAnsi="Times New Roman" w:cs="Times New Roman"/>
          <w:spacing w:val="8"/>
          <w:sz w:val="22"/>
          <w:szCs w:val="22"/>
          <w:u w:val="single"/>
        </w:rPr>
        <w:t>Нарушение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»</w:t>
      </w:r>
      <w:r w:rsidR="00C61C4F">
        <w:rPr>
          <w:rFonts w:ascii="Times New Roman" w:eastAsia="Times New Roman" w:hAnsi="Times New Roman" w:cs="Times New Roman"/>
          <w:spacing w:val="8"/>
          <w:sz w:val="22"/>
          <w:szCs w:val="22"/>
        </w:rPr>
        <w:t>).</w:t>
      </w:r>
    </w:p>
    <w:p w14:paraId="331F187A" w14:textId="77777777" w:rsidR="00A474CF" w:rsidRDefault="00A474CF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</w:rPr>
      </w:pPr>
    </w:p>
    <w:p w14:paraId="4AFACD0C" w14:textId="77777777" w:rsidR="00DA0B59" w:rsidRDefault="00DA0B59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</w:rPr>
      </w:pPr>
    </w:p>
    <w:p w14:paraId="12991F34" w14:textId="77777777" w:rsidR="00A474CF" w:rsidRDefault="00C61C4F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Государства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члены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ЕС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имеют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право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052835">
        <w:rPr>
          <w:rFonts w:ascii="Times New Roman" w:eastAsia="Times New Roman" w:hAnsi="Times New Roman" w:cs="Times New Roman"/>
          <w:spacing w:val="8"/>
          <w:sz w:val="22"/>
          <w:szCs w:val="22"/>
        </w:rPr>
        <w:t>расширить</w:t>
      </w:r>
      <w:proofErr w:type="spellEnd"/>
      <w:r w:rsidR="00052835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защиту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соответствии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своим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национальным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законодательством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на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области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не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перечисленные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выше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Эта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Политика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будет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обновляться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мере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того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как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различные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государства-члены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будут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внедрять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Директиву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свои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национальные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законы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меры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защиты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описанные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этой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Политике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могут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быть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более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широкими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зависимости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местонахождения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Spectrum Brands,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которой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вы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работаете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Для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лиц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ответственных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расследование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сообщений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процедуры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для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каждой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Spectrum Brands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могут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отличаться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зависимости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государства-члена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котором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находится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Spectrum Brands.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Могут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быть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существенные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различия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применении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Директивы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различных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государствах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членах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ЕС и,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следовательно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между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раз</w:t>
      </w:r>
      <w:r w:rsidR="00052835">
        <w:rPr>
          <w:rFonts w:ascii="Times New Roman" w:eastAsia="Times New Roman" w:hAnsi="Times New Roman" w:cs="Times New Roman"/>
          <w:spacing w:val="8"/>
          <w:sz w:val="22"/>
          <w:szCs w:val="22"/>
        </w:rPr>
        <w:t>личными</w:t>
      </w:r>
      <w:proofErr w:type="spellEnd"/>
      <w:r w:rsidR="00052835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052835">
        <w:rPr>
          <w:rFonts w:ascii="Times New Roman" w:eastAsia="Times New Roman" w:hAnsi="Times New Roman" w:cs="Times New Roman"/>
          <w:spacing w:val="8"/>
          <w:sz w:val="22"/>
          <w:szCs w:val="22"/>
        </w:rPr>
        <w:t>подразделениями</w:t>
      </w:r>
      <w:proofErr w:type="spellEnd"/>
      <w:r w:rsidR="00052835"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 w:rsidR="00052835">
        <w:rPr>
          <w:rFonts w:ascii="Times New Roman" w:eastAsia="Times New Roman" w:hAnsi="Times New Roman" w:cs="Times New Roman"/>
          <w:spacing w:val="8"/>
          <w:sz w:val="22"/>
          <w:szCs w:val="22"/>
        </w:rPr>
        <w:t>Компании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подпадающими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под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действие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этой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Политики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Если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какой-либо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сотрудник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не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уверен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том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какая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Директива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требование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применимы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конкретной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стране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ситуации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пожалуйста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свяжитесь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с </w:t>
      </w:r>
      <w:r w:rsidR="00133297">
        <w:rPr>
          <w:rFonts w:ascii="Times New Roman" w:eastAsia="Times New Roman" w:hAnsi="Times New Roman" w:cs="Times New Roman"/>
          <w:spacing w:val="8"/>
          <w:sz w:val="22"/>
          <w:szCs w:val="22"/>
          <w:lang w:val="ru-RU"/>
        </w:rPr>
        <w:t xml:space="preserve">Отделом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по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правовым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вопросам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управлению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>рисками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(LRM). </w:t>
      </w:r>
    </w:p>
    <w:p w14:paraId="174EB934" w14:textId="77777777" w:rsidR="00895FD3" w:rsidRPr="003A60D7" w:rsidRDefault="00895FD3" w:rsidP="00045FF9">
      <w:pPr>
        <w:pStyle w:val="BodyText"/>
        <w:spacing w:before="9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4223B2EB" w14:textId="77777777" w:rsidR="00045FF9" w:rsidRDefault="00C61C4F" w:rsidP="00DA0B59">
      <w:pPr>
        <w:pStyle w:val="BodyText"/>
        <w:numPr>
          <w:ilvl w:val="0"/>
          <w:numId w:val="1"/>
        </w:numPr>
        <w:spacing w:before="9"/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Условия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защиты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соответствии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Политикой</w:t>
      </w:r>
      <w:proofErr w:type="spellEnd"/>
    </w:p>
    <w:p w14:paraId="6E93AF98" w14:textId="77777777" w:rsidR="00045FF9" w:rsidRDefault="00045FF9" w:rsidP="00045FF9">
      <w:pPr>
        <w:pStyle w:val="BodyText"/>
        <w:spacing w:before="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2C44C56" w14:textId="77777777" w:rsidR="00045FF9" w:rsidRPr="003A60D7" w:rsidRDefault="00062223" w:rsidP="00B7529F">
      <w:pPr>
        <w:pStyle w:val="BodyText"/>
        <w:spacing w:before="9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Информаторы</w:t>
      </w:r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имеют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защиту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при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условии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что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них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были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разумные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основания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полагать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что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информация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которой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они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располагали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Нарушении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была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правдивой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момент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их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сообщения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ней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что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она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подпадала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действие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настоящей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Политики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Директивы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они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сообщили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эту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информацию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либо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внутри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компании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соответствии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этой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Политикой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ли</w:t>
      </w:r>
      <w:r w:rsidR="00052835">
        <w:rPr>
          <w:rFonts w:ascii="Times New Roman" w:hAnsi="Times New Roman" w:cs="Times New Roman"/>
          <w:sz w:val="22"/>
          <w:szCs w:val="22"/>
        </w:rPr>
        <w:t>бо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извне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как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описано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законах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государства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члена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ЕС, </w:t>
      </w:r>
      <w:r w:rsidR="00052835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котором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расположена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организация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Spectrum Brands,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которая</w:t>
      </w:r>
      <w:r w:rsidR="00052835">
        <w:rPr>
          <w:rFonts w:ascii="Times New Roman" w:hAnsi="Times New Roman" w:cs="Times New Roman"/>
          <w:sz w:val="22"/>
          <w:szCs w:val="22"/>
        </w:rPr>
        <w:t>является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их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работодателем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>.</w:t>
      </w:r>
    </w:p>
    <w:p w14:paraId="2FB14B4C" w14:textId="77777777" w:rsidR="00045FF9" w:rsidRPr="003A60D7" w:rsidRDefault="00045FF9" w:rsidP="00045FF9">
      <w:pPr>
        <w:pStyle w:val="BodyText"/>
        <w:spacing w:before="9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3FA26419" w14:textId="77777777" w:rsidR="00045FF9" w:rsidRPr="003A60D7" w:rsidRDefault="00C61C4F" w:rsidP="00045FF9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Процедуры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внутрен</w:t>
      </w:r>
      <w:r w:rsidR="00062223">
        <w:rPr>
          <w:rFonts w:ascii="Times New Roman" w:hAnsi="Times New Roman" w:cs="Times New Roman"/>
          <w:sz w:val="22"/>
          <w:szCs w:val="22"/>
        </w:rPr>
        <w:t>ней</w:t>
      </w:r>
      <w:proofErr w:type="spellEnd"/>
      <w:r w:rsidR="00062223">
        <w:rPr>
          <w:rFonts w:ascii="Times New Roman" w:hAnsi="Times New Roman" w:cs="Times New Roman"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>о</w:t>
      </w:r>
      <w:proofErr w:type="spellStart"/>
      <w:r>
        <w:rPr>
          <w:rFonts w:ascii="Times New Roman" w:hAnsi="Times New Roman" w:cs="Times New Roman"/>
          <w:sz w:val="22"/>
          <w:szCs w:val="22"/>
        </w:rPr>
        <w:t>тчетности</w:t>
      </w:r>
      <w:proofErr w:type="spellEnd"/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о нарушениях</w:t>
      </w:r>
    </w:p>
    <w:p w14:paraId="53E6E37B" w14:textId="77777777" w:rsidR="00045FF9" w:rsidRPr="003A60D7" w:rsidRDefault="00045FF9" w:rsidP="00045FF9">
      <w:pPr>
        <w:pStyle w:val="Heading1"/>
        <w:tabs>
          <w:tab w:val="left" w:pos="859"/>
          <w:tab w:val="left" w:pos="860"/>
        </w:tabs>
        <w:ind w:left="0"/>
        <w:contextualSpacing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BB1BBB3" w14:textId="77777777" w:rsidR="00052835" w:rsidRDefault="00052835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Компания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61C4F">
        <w:rPr>
          <w:rFonts w:ascii="Times New Roman" w:hAnsi="Times New Roman" w:cs="Times New Roman"/>
          <w:sz w:val="22"/>
          <w:szCs w:val="22"/>
        </w:rPr>
        <w:t xml:space="preserve">Spectrum Brands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предоставляет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внутренний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канал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отчетности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для</w:t>
      </w:r>
      <w:proofErr w:type="spellEnd"/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информаторов</w:t>
      </w:r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который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является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конфиденциальным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безопасным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позволяет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как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письменно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так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устно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сообщать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ин</w:t>
      </w:r>
      <w:r>
        <w:rPr>
          <w:rFonts w:ascii="Times New Roman" w:hAnsi="Times New Roman" w:cs="Times New Roman"/>
          <w:sz w:val="22"/>
          <w:szCs w:val="22"/>
        </w:rPr>
        <w:t>формацию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нарушении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Для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целей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есть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24-часовая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горячая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линия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доступная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телефону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 xml:space="preserve"> 1-866-384-4277, и </w:t>
      </w:r>
      <w:proofErr w:type="spellStart"/>
      <w:r w:rsidR="00C61C4F">
        <w:rPr>
          <w:rFonts w:ascii="Times New Roman" w:hAnsi="Times New Roman" w:cs="Times New Roman"/>
          <w:sz w:val="22"/>
          <w:szCs w:val="22"/>
        </w:rPr>
        <w:t>веб-сайт</w:t>
      </w:r>
      <w:proofErr w:type="spellEnd"/>
      <w:r w:rsidR="00C61C4F">
        <w:rPr>
          <w:rFonts w:ascii="Times New Roman" w:hAnsi="Times New Roman" w:cs="Times New Roman"/>
          <w:sz w:val="22"/>
          <w:szCs w:val="22"/>
        </w:rPr>
        <w:t>,</w:t>
      </w:r>
    </w:p>
    <w:p w14:paraId="4C7AAFF2" w14:textId="77777777" w:rsidR="00052835" w:rsidRDefault="009D68B1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C662C3" w:rsidRPr="00906928">
          <w:rPr>
            <w:rStyle w:val="Hyperlink"/>
            <w:rFonts w:ascii="Times New Roman" w:hAnsi="Times New Roman" w:cs="Times New Roman"/>
            <w:sz w:val="22"/>
            <w:szCs w:val="22"/>
          </w:rPr>
          <w:t>https://secure.ethicspoint.com/domain/media/en/gui/7424/index.html</w:t>
        </w:r>
      </w:hyperlink>
      <w:r w:rsidR="00C61C4F"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19BCC2AA" w14:textId="77777777" w:rsidR="00045FF9" w:rsidRPr="00052835" w:rsidRDefault="00C61C4F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Лицо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ответственные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получение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сообщения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Информатора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должны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предоставить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подтверждение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получения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сообщения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Информатору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течение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2835">
        <w:rPr>
          <w:rFonts w:ascii="Times New Roman" w:hAnsi="Times New Roman" w:cs="Times New Roman"/>
          <w:sz w:val="22"/>
          <w:szCs w:val="22"/>
        </w:rPr>
        <w:t>7 (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семи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календарных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дней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момента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получения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первоначального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сообщения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984AEE0" w14:textId="77777777" w:rsidR="00FD1805" w:rsidRDefault="00FD1805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235AD46" w14:textId="77777777" w:rsidR="00FD1805" w:rsidRDefault="00C61C4F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Беспристрастное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</w:t>
      </w:r>
      <w:r w:rsidR="00052835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отдел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в Spectrum Brands («</w:t>
      </w:r>
      <w:proofErr w:type="spellStart"/>
      <w:r w:rsidR="00C808EC" w:rsidRPr="00C808EC">
        <w:rPr>
          <w:rFonts w:ascii="Times New Roman" w:hAnsi="Times New Roman" w:cs="Times New Roman"/>
          <w:sz w:val="22"/>
          <w:szCs w:val="22"/>
          <w:u w:val="single"/>
        </w:rPr>
        <w:t>Следователь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несет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ответственность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отслеживание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расследование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сообщения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включая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сбор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дополнительной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предоставление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обратной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связи</w:t>
      </w:r>
      <w:proofErr w:type="spellEnd"/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Информатору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Следователем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сотрудник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же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отдела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которому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направлен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первоначальный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04557D6" w14:textId="77777777" w:rsidR="00AB1C0F" w:rsidRDefault="00AB1C0F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F475487" w14:textId="77777777" w:rsidR="00AB1C0F" w:rsidRDefault="00C61C4F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Следователь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должен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тщательно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следить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чтобы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Информатор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подтвердил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получение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случае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позднее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2835">
        <w:rPr>
          <w:rFonts w:ascii="Times New Roman" w:hAnsi="Times New Roman" w:cs="Times New Roman"/>
          <w:sz w:val="22"/>
          <w:szCs w:val="22"/>
        </w:rPr>
        <w:t>7 (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семь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дней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получения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первоначального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</w:t>
      </w:r>
      <w:r w:rsidR="00052835">
        <w:rPr>
          <w:rFonts w:ascii="Times New Roman" w:hAnsi="Times New Roman" w:cs="Times New Roman"/>
          <w:sz w:val="22"/>
          <w:szCs w:val="22"/>
        </w:rPr>
        <w:t>тчета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Затем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следователь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обязан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должным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образом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завершить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тщательное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расследование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утверждений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информации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содержащихся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расследование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включать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среди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прочего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беседу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Информатором</w:t>
      </w:r>
      <w:r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также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независимую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работу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проверке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утверждений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сделанных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Следователь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также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должен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связаться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главным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юрисконсультом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Spectrum Brands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назначенным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чтобы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предупредить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подаче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о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шаги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предприняты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и о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ходе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расследования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E82AA30" w14:textId="77777777" w:rsidR="00BA0885" w:rsidRDefault="00BA0885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5C7E9E5" w14:textId="77777777" w:rsidR="00045FF9" w:rsidRDefault="00C61C4F" w:rsidP="004B33CA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течение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разумного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срока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более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2835">
        <w:rPr>
          <w:rFonts w:ascii="Times New Roman" w:hAnsi="Times New Roman" w:cs="Times New Roman"/>
          <w:sz w:val="22"/>
          <w:szCs w:val="22"/>
        </w:rPr>
        <w:t>3 (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месяца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Следователь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подтвердил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получение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Следователь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52835">
        <w:rPr>
          <w:rFonts w:ascii="Times New Roman" w:hAnsi="Times New Roman" w:cs="Times New Roman"/>
          <w:sz w:val="22"/>
          <w:szCs w:val="22"/>
        </w:rPr>
        <w:t>должен</w:t>
      </w:r>
      <w:proofErr w:type="spellEnd"/>
      <w:r w:rsidR="0005283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предоставит</w:t>
      </w:r>
      <w:r w:rsidR="00052835">
        <w:rPr>
          <w:rFonts w:ascii="Times New Roman" w:hAnsi="Times New Roman" w:cs="Times New Roman"/>
          <w:sz w:val="22"/>
          <w:szCs w:val="22"/>
        </w:rPr>
        <w:t>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2223">
        <w:rPr>
          <w:rFonts w:ascii="Times New Roman" w:hAnsi="Times New Roman" w:cs="Times New Roman"/>
          <w:sz w:val="22"/>
          <w:szCs w:val="22"/>
        </w:rPr>
        <w:t>Информатору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обратную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связь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относительно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результатов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расследования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шагов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которые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предприняты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будут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предприняты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для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устранения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нарушений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подтвержденных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расследованием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164FD24" w14:textId="77777777" w:rsidR="00471D64" w:rsidRDefault="00471D64" w:rsidP="004B33CA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A5006CC" w14:textId="77777777" w:rsidR="00471D64" w:rsidRPr="004B33CA" w:rsidRDefault="00C61C4F" w:rsidP="004B33CA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Личность</w:t>
      </w:r>
      <w:proofErr w:type="spellEnd"/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Информатора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включая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информацию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которая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идентифицировать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личность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должна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раскрываться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никому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кроме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Следователя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явного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письменного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согласия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Информатора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исключением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случаев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когда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требуется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для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соблюдения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расследования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требований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применимого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законодательства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Личность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Информатора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раскрыта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только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случаях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когда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необходимо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связи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юридическим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обязательством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налагаемым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законодательством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ЕС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законодательством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другого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государства-члена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включая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раскрытие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требуемое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ходе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судебного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разбирательства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B21AD35" w14:textId="77777777" w:rsidR="00045FF9" w:rsidRDefault="00045FF9" w:rsidP="00045FF9">
      <w:pPr>
        <w:pStyle w:val="BodyText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</w:rPr>
      </w:pPr>
    </w:p>
    <w:p w14:paraId="75FE8FB6" w14:textId="77777777" w:rsidR="00045FF9" w:rsidRPr="003A60D7" w:rsidRDefault="00C61C4F" w:rsidP="00045FF9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B2291">
        <w:rPr>
          <w:rFonts w:ascii="Times New Roman" w:hAnsi="Times New Roman" w:cs="Times New Roman"/>
          <w:sz w:val="22"/>
          <w:szCs w:val="22"/>
        </w:rPr>
        <w:t>Внешние</w:t>
      </w:r>
      <w:proofErr w:type="spellEnd"/>
      <w:r w:rsidRPr="008B22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 w:rsidRPr="008B2291">
        <w:rPr>
          <w:rFonts w:ascii="Times New Roman" w:hAnsi="Times New Roman" w:cs="Times New Roman"/>
          <w:sz w:val="22"/>
          <w:szCs w:val="22"/>
        </w:rPr>
        <w:t>каналы</w:t>
      </w:r>
      <w:proofErr w:type="spellEnd"/>
      <w:r w:rsidR="004067CE" w:rsidRPr="008B2291">
        <w:rPr>
          <w:rFonts w:ascii="Times New Roman" w:hAnsi="Times New Roman" w:cs="Times New Roman"/>
          <w:sz w:val="22"/>
          <w:szCs w:val="22"/>
        </w:rPr>
        <w:t xml:space="preserve"> 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отчетности о нарушениях</w:t>
      </w:r>
    </w:p>
    <w:p w14:paraId="41DC2191" w14:textId="77777777" w:rsidR="00045FF9" w:rsidRPr="003A60D7" w:rsidRDefault="00045FF9" w:rsidP="00045FF9">
      <w:pPr>
        <w:pStyle w:val="BodyText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</w:rPr>
      </w:pPr>
    </w:p>
    <w:p w14:paraId="3500999C" w14:textId="77777777" w:rsidR="00045FF9" w:rsidRDefault="00C61C4F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Государства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>
        <w:rPr>
          <w:rFonts w:ascii="Times New Roman" w:hAnsi="Times New Roman" w:cs="Times New Roman"/>
          <w:sz w:val="22"/>
          <w:szCs w:val="22"/>
        </w:rPr>
        <w:t>члены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ЕС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обязаны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соответствии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Директивой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создавать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собственные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</w:t>
      </w:r>
      <w:r w:rsidR="00062223">
        <w:rPr>
          <w:rFonts w:ascii="Times New Roman" w:hAnsi="Times New Roman" w:cs="Times New Roman"/>
          <w:sz w:val="22"/>
          <w:szCs w:val="22"/>
        </w:rPr>
        <w:t>аналы</w:t>
      </w:r>
      <w:proofErr w:type="spellEnd"/>
      <w:r w:rsidR="000622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2223">
        <w:rPr>
          <w:rFonts w:ascii="Times New Roman" w:hAnsi="Times New Roman" w:cs="Times New Roman"/>
          <w:sz w:val="22"/>
          <w:szCs w:val="22"/>
        </w:rPr>
        <w:t>отчетности</w:t>
      </w:r>
      <w:proofErr w:type="spellEnd"/>
      <w:r w:rsidR="0006222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062223">
        <w:rPr>
          <w:rFonts w:ascii="Times New Roman" w:hAnsi="Times New Roman" w:cs="Times New Roman"/>
          <w:sz w:val="22"/>
          <w:szCs w:val="22"/>
        </w:rPr>
        <w:t>нарушениях</w:t>
      </w:r>
      <w:proofErr w:type="spellEnd"/>
      <w:r w:rsidR="00062223">
        <w:rPr>
          <w:rFonts w:ascii="Times New Roman" w:hAnsi="Times New Roman" w:cs="Times New Roman"/>
          <w:sz w:val="22"/>
          <w:szCs w:val="22"/>
        </w:rPr>
        <w:t xml:space="preserve">.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>Информаторы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могут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</w:t>
      </w:r>
      <w:r w:rsidR="004067CE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своему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усмотрению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сообщать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нарушении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через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эти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внешние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каналы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Д</w:t>
      </w:r>
      <w:r w:rsidR="004067CE">
        <w:rPr>
          <w:rFonts w:ascii="Times New Roman" w:hAnsi="Times New Roman" w:cs="Times New Roman"/>
          <w:sz w:val="22"/>
          <w:szCs w:val="22"/>
        </w:rPr>
        <w:t>оступность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порядок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использования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внешних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каналов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отчетности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будут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варьироваться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зависимости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государства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r>
        <w:rPr>
          <w:rFonts w:ascii="Times New Roman" w:hAnsi="Times New Roman" w:cs="Times New Roman"/>
          <w:sz w:val="22"/>
          <w:szCs w:val="22"/>
        </w:rPr>
        <w:t>члена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ЕС,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котором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находится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Информатор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311B8A8" w14:textId="77777777" w:rsidR="00026666" w:rsidRDefault="00026666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9E5EDB6" w14:textId="77777777" w:rsidR="00026666" w:rsidRPr="003A60D7" w:rsidRDefault="00C61C4F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время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Информаторы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могут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сообщать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067CE">
        <w:rPr>
          <w:rFonts w:ascii="Times New Roman" w:hAnsi="Times New Roman" w:cs="Times New Roman"/>
          <w:sz w:val="22"/>
          <w:szCs w:val="22"/>
        </w:rPr>
        <w:t xml:space="preserve">о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нарушении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как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внутренним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067CE">
        <w:rPr>
          <w:rFonts w:ascii="Times New Roman" w:hAnsi="Times New Roman" w:cs="Times New Roman"/>
          <w:sz w:val="22"/>
          <w:szCs w:val="22"/>
        </w:rPr>
        <w:t>так</w:t>
      </w:r>
      <w:proofErr w:type="spellEnd"/>
      <w:r w:rsidR="004067CE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внешним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каналам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отчетности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Spectrum Brands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рекомендует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сообщать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первую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очередь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внутренним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каналам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отчетности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соответствии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настоящей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Политикой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54DD0927" w14:textId="77777777" w:rsidR="00045FF9" w:rsidRPr="003A60D7" w:rsidRDefault="00045FF9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EB4F330" w14:textId="77777777" w:rsidR="00BF79DE" w:rsidRPr="00764232" w:rsidRDefault="00C61C4F" w:rsidP="00DA0B59">
      <w:pPr>
        <w:pStyle w:val="BodyText"/>
        <w:numPr>
          <w:ilvl w:val="0"/>
          <w:numId w:val="1"/>
        </w:numPr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Запрет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возмездие</w:t>
      </w:r>
      <w:proofErr w:type="spellEnd"/>
    </w:p>
    <w:p w14:paraId="3EE23FFF" w14:textId="77777777" w:rsidR="00764232" w:rsidRDefault="00764232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8BDDF06" w14:textId="77777777" w:rsidR="00764232" w:rsidRDefault="00C61C4F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обстоятельствах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сотрудник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Spectrum Brands,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акционер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кто-либо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работающий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имени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Spectrum Brands,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будет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каким-либо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мстить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Информатору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что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подал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отчет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включает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ограничи</w:t>
      </w:r>
      <w:r w:rsidR="00133297">
        <w:rPr>
          <w:rFonts w:ascii="Times New Roman" w:hAnsi="Times New Roman" w:cs="Times New Roman"/>
          <w:sz w:val="22"/>
          <w:szCs w:val="22"/>
        </w:rPr>
        <w:t>вается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следующими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действиями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: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отстранение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должности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сокращение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увольнение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 xml:space="preserve">их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эквивалент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понижение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должн</w:t>
      </w:r>
      <w:r w:rsidR="00133297">
        <w:rPr>
          <w:rFonts w:ascii="Times New Roman" w:hAnsi="Times New Roman" w:cs="Times New Roman"/>
          <w:sz w:val="22"/>
          <w:szCs w:val="22"/>
        </w:rPr>
        <w:t>ости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отказ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повышении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передача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обязанностей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смена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места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работы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сокращение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заработной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платы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изменение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рабочего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времени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133297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отказ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обучении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отрицательные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оценки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работы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реко</w:t>
      </w:r>
      <w:r w:rsidR="00133297">
        <w:rPr>
          <w:rFonts w:ascii="Times New Roman" w:hAnsi="Times New Roman" w:cs="Times New Roman"/>
          <w:sz w:val="22"/>
          <w:szCs w:val="22"/>
        </w:rPr>
        <w:t>мендации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приеме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работу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применение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дисциплинарных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наказаний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включая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фин</w:t>
      </w:r>
      <w:r w:rsidR="00133297">
        <w:rPr>
          <w:rFonts w:ascii="Times New Roman" w:hAnsi="Times New Roman" w:cs="Times New Roman"/>
          <w:sz w:val="22"/>
          <w:szCs w:val="22"/>
        </w:rPr>
        <w:t>ансовые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штрафы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любого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рода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запугивание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преследование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2223">
        <w:rPr>
          <w:rFonts w:ascii="Times New Roman" w:hAnsi="Times New Roman" w:cs="Times New Roman"/>
          <w:sz w:val="22"/>
          <w:szCs w:val="22"/>
        </w:rPr>
        <w:t>остракизм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Информатора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дискриминация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Информатора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</w:t>
      </w:r>
      <w:r w:rsidR="00276CCA">
        <w:rPr>
          <w:rFonts w:ascii="Times New Roman" w:hAnsi="Times New Roman" w:cs="Times New Roman"/>
          <w:sz w:val="22"/>
          <w:szCs w:val="22"/>
        </w:rPr>
        <w:t>ли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несправедливое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отношение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к </w:t>
      </w:r>
      <w:proofErr w:type="spellStart"/>
      <w:r w:rsidR="00276CCA" w:rsidRPr="008B2291">
        <w:rPr>
          <w:rFonts w:ascii="Times New Roman" w:hAnsi="Times New Roman" w:cs="Times New Roman"/>
          <w:sz w:val="22"/>
          <w:szCs w:val="22"/>
        </w:rPr>
        <w:t>не</w:t>
      </w:r>
      <w:r w:rsidRPr="008B2291">
        <w:rPr>
          <w:rFonts w:ascii="Times New Roman" w:hAnsi="Times New Roman" w:cs="Times New Roman"/>
          <w:sz w:val="22"/>
          <w:szCs w:val="22"/>
        </w:rPr>
        <w:t>м</w:t>
      </w:r>
      <w:r w:rsidR="00276CCA" w:rsidRPr="008B2291">
        <w:rPr>
          <w:rFonts w:ascii="Times New Roman" w:hAnsi="Times New Roman" w:cs="Times New Roman"/>
          <w:sz w:val="22"/>
          <w:szCs w:val="22"/>
        </w:rPr>
        <w:t>у</w:t>
      </w:r>
      <w:proofErr w:type="spellEnd"/>
      <w:r w:rsidRPr="008B22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B2291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8B2291">
        <w:rPr>
          <w:rFonts w:ascii="Times New Roman" w:hAnsi="Times New Roman" w:cs="Times New Roman"/>
          <w:sz w:val="22"/>
          <w:szCs w:val="22"/>
        </w:rPr>
        <w:t xml:space="preserve"> </w:t>
      </w:r>
      <w:r w:rsidR="008B2291" w:rsidRPr="008B2291">
        <w:rPr>
          <w:rFonts w:ascii="Times New Roman" w:hAnsi="Times New Roman" w:cs="Times New Roman"/>
          <w:sz w:val="22"/>
          <w:szCs w:val="22"/>
          <w:lang w:val="ru-RU"/>
        </w:rPr>
        <w:t>сравнению</w:t>
      </w:r>
      <w:r w:rsidR="008B2291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="008B229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276CC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имеющим</w:t>
      </w:r>
      <w:proofErr w:type="spellEnd"/>
      <w:r w:rsidR="008B2291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аналогичное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положение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неспособность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2223">
        <w:rPr>
          <w:rFonts w:ascii="Times New Roman" w:hAnsi="Times New Roman" w:cs="Times New Roman"/>
          <w:sz w:val="22"/>
          <w:szCs w:val="22"/>
        </w:rPr>
        <w:t>преобразовать</w:t>
      </w:r>
      <w:proofErr w:type="spellEnd"/>
      <w:r w:rsidRPr="000622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2223">
        <w:rPr>
          <w:rFonts w:ascii="Times New Roman" w:hAnsi="Times New Roman" w:cs="Times New Roman"/>
          <w:sz w:val="22"/>
          <w:szCs w:val="22"/>
        </w:rPr>
        <w:t>временный</w:t>
      </w:r>
      <w:proofErr w:type="spellEnd"/>
      <w:r w:rsidRPr="000622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62223">
        <w:rPr>
          <w:rFonts w:ascii="Times New Roman" w:hAnsi="Times New Roman" w:cs="Times New Roman"/>
          <w:sz w:val="22"/>
          <w:szCs w:val="22"/>
        </w:rPr>
        <w:t>контракт</w:t>
      </w:r>
      <w:proofErr w:type="spellEnd"/>
      <w:r w:rsidRPr="00062223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062223">
        <w:rPr>
          <w:rFonts w:ascii="Times New Roman" w:hAnsi="Times New Roman" w:cs="Times New Roman"/>
          <w:sz w:val="22"/>
          <w:szCs w:val="22"/>
        </w:rPr>
        <w:t>постоянный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когда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Осведомителя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законны</w:t>
      </w:r>
      <w:r w:rsidR="00133297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ожидания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постоянной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работы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неспособность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продлить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временный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контракт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его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досрочное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расторжение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11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нанесение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ущерба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репутации</w:t>
      </w:r>
      <w:proofErr w:type="spellEnd"/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Информатора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будь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социаль</w:t>
      </w:r>
      <w:r w:rsidR="00133297">
        <w:rPr>
          <w:rFonts w:ascii="Times New Roman" w:hAnsi="Times New Roman" w:cs="Times New Roman"/>
          <w:sz w:val="22"/>
          <w:szCs w:val="22"/>
        </w:rPr>
        <w:t>ных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сетях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иным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образом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внесение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черный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список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информатора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общеотраслевому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соглашению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официал</w:t>
      </w:r>
      <w:r w:rsidR="00133297">
        <w:rPr>
          <w:rFonts w:ascii="Times New Roman" w:hAnsi="Times New Roman" w:cs="Times New Roman"/>
          <w:sz w:val="22"/>
          <w:szCs w:val="22"/>
        </w:rPr>
        <w:t>ьному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неофициальному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),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13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досрочное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расторжение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аннулирование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контракта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Информатором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связанн</w:t>
      </w:r>
      <w:r w:rsidR="00133297">
        <w:rPr>
          <w:rFonts w:ascii="Times New Roman" w:hAnsi="Times New Roman" w:cs="Times New Roman"/>
          <w:sz w:val="22"/>
          <w:szCs w:val="22"/>
        </w:rPr>
        <w:t>ой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ним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организацией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14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аннулирование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</w:t>
      </w:r>
      <w:r w:rsidR="00133297">
        <w:rPr>
          <w:rFonts w:ascii="Times New Roman" w:hAnsi="Times New Roman" w:cs="Times New Roman"/>
          <w:sz w:val="22"/>
          <w:szCs w:val="22"/>
        </w:rPr>
        <w:t>бых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лицензий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33297">
        <w:rPr>
          <w:rFonts w:ascii="Times New Roman" w:hAnsi="Times New Roman" w:cs="Times New Roman"/>
          <w:sz w:val="22"/>
          <w:szCs w:val="22"/>
        </w:rPr>
        <w:t>разрешений</w:t>
      </w:r>
      <w:proofErr w:type="spellEnd"/>
      <w:r w:rsidR="00133297">
        <w:rPr>
          <w:rFonts w:ascii="Times New Roman" w:hAnsi="Times New Roman" w:cs="Times New Roman"/>
          <w:sz w:val="22"/>
          <w:szCs w:val="22"/>
        </w:rPr>
        <w:t>, (</w:t>
      </w:r>
      <w:r w:rsidR="00133297">
        <w:rPr>
          <w:rFonts w:ascii="Times New Roman" w:hAnsi="Times New Roman" w:cs="Times New Roman"/>
          <w:sz w:val="22"/>
          <w:szCs w:val="22"/>
          <w:lang w:val="ru-RU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направлени</w:t>
      </w:r>
      <w:r w:rsidR="00276CCA">
        <w:rPr>
          <w:rFonts w:ascii="Times New Roman" w:hAnsi="Times New Roman" w:cs="Times New Roman"/>
          <w:sz w:val="22"/>
          <w:szCs w:val="22"/>
        </w:rPr>
        <w:t>е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Информатора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получение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психиатрической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медицинской</w:t>
      </w:r>
      <w:proofErr w:type="spellEnd"/>
      <w:r w:rsidR="00276CC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76CCA">
        <w:rPr>
          <w:rFonts w:ascii="Times New Roman" w:hAnsi="Times New Roman" w:cs="Times New Roman"/>
          <w:sz w:val="22"/>
          <w:szCs w:val="22"/>
        </w:rPr>
        <w:t>помощи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7721A44C" w14:textId="77777777" w:rsidR="00764232" w:rsidRDefault="00764232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0A8DD83" w14:textId="77777777" w:rsidR="00764232" w:rsidRDefault="00C61C4F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кто-либо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имеющий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полномочия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предпринять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какие-либо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действий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Информатора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считает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что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любой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шагов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уместен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был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предпринят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 Информатора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Политика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должно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немедленно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связаться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Главным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юрисконсультом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Spectrum Brands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назначенным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лицом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946C5A1" w14:textId="77777777" w:rsidR="00764232" w:rsidRPr="0053710B" w:rsidRDefault="00764232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AF3104" w14:paraId="35E29B7E" w14:textId="77777777" w:rsidTr="009E7712">
        <w:tc>
          <w:tcPr>
            <w:tcW w:w="9360" w:type="dxa"/>
          </w:tcPr>
          <w:p w14:paraId="3B187F90" w14:textId="77777777" w:rsidR="00045FF9" w:rsidRPr="00F862D2" w:rsidRDefault="00C61C4F" w:rsidP="009E7712">
            <w:pPr>
              <w:pStyle w:val="BodyText"/>
              <w:spacing w:before="6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отчетов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данных</w:t>
            </w:r>
            <w:proofErr w:type="spellEnd"/>
          </w:p>
        </w:tc>
      </w:tr>
    </w:tbl>
    <w:p w14:paraId="517404FE" w14:textId="77777777" w:rsidR="00045FF9" w:rsidRDefault="00045FF9" w:rsidP="00045FF9">
      <w:pPr>
        <w:rPr>
          <w:rFonts w:ascii="Times New Roman" w:hAnsi="Times New Roman" w:cs="Times New Roman"/>
        </w:rPr>
      </w:pPr>
    </w:p>
    <w:p w14:paraId="6AF06467" w14:textId="77777777" w:rsidR="00045FF9" w:rsidRDefault="00C61C4F" w:rsidP="00045FF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Любая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которая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идентифицирует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идентифицировать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C5A12">
        <w:rPr>
          <w:rFonts w:ascii="Times New Roman" w:hAnsi="Times New Roman" w:cs="Times New Roman"/>
        </w:rPr>
        <w:t>личность</w:t>
      </w:r>
      <w:proofErr w:type="spellEnd"/>
      <w:r w:rsidR="00062223">
        <w:rPr>
          <w:rFonts w:ascii="Times New Roman" w:hAnsi="Times New Roman" w:cs="Times New Roman"/>
          <w:lang w:val="ru-RU"/>
        </w:rPr>
        <w:t xml:space="preserve"> Информатора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должна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обрабатываться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соответствии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положениями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Общего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Регламента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защите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данных</w:t>
      </w:r>
      <w:proofErr w:type="spellEnd"/>
      <w:r>
        <w:rPr>
          <w:rFonts w:ascii="Times New Roman" w:hAnsi="Times New Roman" w:cs="Times New Roman"/>
        </w:rPr>
        <w:t xml:space="preserve"> 2016/679, </w:t>
      </w:r>
      <w:proofErr w:type="spellStart"/>
      <w:r>
        <w:rPr>
          <w:rFonts w:ascii="Times New Roman" w:hAnsi="Times New Roman" w:cs="Times New Roman"/>
        </w:rPr>
        <w:t>также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известного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</w:t>
      </w:r>
      <w:proofErr w:type="spellEnd"/>
      <w:r>
        <w:rPr>
          <w:rFonts w:ascii="Times New Roman" w:hAnsi="Times New Roman" w:cs="Times New Roman"/>
        </w:rPr>
        <w:t xml:space="preserve"> GDPR. </w:t>
      </w:r>
      <w:proofErr w:type="spellStart"/>
      <w:r>
        <w:rPr>
          <w:rFonts w:ascii="Times New Roman" w:hAnsi="Times New Roman" w:cs="Times New Roman"/>
        </w:rPr>
        <w:t>Персональные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данные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которые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совершенно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имеют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отношения</w:t>
      </w:r>
      <w:proofErr w:type="spellEnd"/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отчетам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расследовании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должны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собираться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если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собраны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должны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быть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удалены</w:t>
      </w:r>
      <w:proofErr w:type="spellEnd"/>
      <w:r>
        <w:rPr>
          <w:rFonts w:ascii="Times New Roman" w:hAnsi="Times New Roman" w:cs="Times New Roman"/>
        </w:rPr>
        <w:t>.</w:t>
      </w:r>
    </w:p>
    <w:p w14:paraId="2348C559" w14:textId="77777777" w:rsidR="0072233E" w:rsidRDefault="0072233E" w:rsidP="00045FF9">
      <w:pPr>
        <w:jc w:val="both"/>
        <w:rPr>
          <w:rFonts w:ascii="Times New Roman" w:hAnsi="Times New Roman" w:cs="Times New Roman"/>
        </w:rPr>
      </w:pPr>
    </w:p>
    <w:p w14:paraId="39C7999C" w14:textId="77777777" w:rsidR="0072233E" w:rsidRPr="0053710B" w:rsidRDefault="00C61C4F" w:rsidP="00045FF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Записи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каждом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полученном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отчете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должны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храниться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C5A12">
        <w:rPr>
          <w:rFonts w:ascii="Times New Roman" w:hAnsi="Times New Roman" w:cs="Times New Roman"/>
        </w:rPr>
        <w:t>компанией</w:t>
      </w:r>
      <w:proofErr w:type="spellEnd"/>
      <w:r w:rsidR="001C5A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Spectrum Brands </w:t>
      </w:r>
      <w:proofErr w:type="spellStart"/>
      <w:r>
        <w:rPr>
          <w:rFonts w:ascii="Times New Roman" w:hAnsi="Times New Roman" w:cs="Times New Roman"/>
        </w:rPr>
        <w:t>конфиденциальным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безопасным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Отчеты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которые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обоснованно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C5A12">
        <w:rPr>
          <w:rFonts w:ascii="Times New Roman" w:hAnsi="Times New Roman" w:cs="Times New Roman"/>
        </w:rPr>
        <w:t>судебного</w:t>
      </w:r>
      <w:proofErr w:type="spellEnd"/>
      <w:r w:rsidR="001C5A12">
        <w:rPr>
          <w:rFonts w:ascii="Times New Roman" w:hAnsi="Times New Roman" w:cs="Times New Roman"/>
        </w:rPr>
        <w:t xml:space="preserve"> </w:t>
      </w:r>
      <w:proofErr w:type="spellStart"/>
      <w:r w:rsidR="001C5A12">
        <w:rPr>
          <w:rFonts w:ascii="Times New Roman" w:hAnsi="Times New Roman" w:cs="Times New Roman"/>
        </w:rPr>
        <w:t>разбирательства</w:t>
      </w:r>
      <w:proofErr w:type="spellEnd"/>
      <w:r w:rsidR="001C5A12">
        <w:rPr>
          <w:rFonts w:ascii="Times New Roman" w:hAnsi="Times New Roman" w:cs="Times New Roman"/>
        </w:rPr>
        <w:t xml:space="preserve">, </w:t>
      </w:r>
      <w:proofErr w:type="spellStart"/>
      <w:r w:rsidR="001C5A12">
        <w:rPr>
          <w:rFonts w:ascii="Times New Roman" w:hAnsi="Times New Roman" w:cs="Times New Roman"/>
        </w:rPr>
        <w:t>должны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храниться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судебное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разбирательство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завершится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окончательно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истечет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давности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Отчеты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также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любые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связанные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ними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файлы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которые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разумно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являются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каких-либо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дальнейших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судебных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разбирательств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внешних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расследований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отчетности</w:t>
      </w:r>
      <w:proofErr w:type="spellEnd"/>
      <w:r>
        <w:rPr>
          <w:rFonts w:ascii="Times New Roman" w:hAnsi="Times New Roman" w:cs="Times New Roman"/>
        </w:rPr>
        <w:t xml:space="preserve">, в </w:t>
      </w:r>
      <w:proofErr w:type="spellStart"/>
      <w:r>
        <w:rPr>
          <w:rFonts w:ascii="Times New Roman" w:hAnsi="Times New Roman" w:cs="Times New Roman"/>
        </w:rPr>
        <w:t>пределах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допустимых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требований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Компании</w:t>
      </w:r>
      <w:proofErr w:type="spellEnd"/>
      <w:r>
        <w:rPr>
          <w:rFonts w:ascii="Times New Roman" w:hAnsi="Times New Roman" w:cs="Times New Roman"/>
        </w:rPr>
        <w:t xml:space="preserve"> к </w:t>
      </w:r>
      <w:proofErr w:type="spellStart"/>
      <w:r>
        <w:rPr>
          <w:rFonts w:ascii="Times New Roman" w:hAnsi="Times New Roman" w:cs="Times New Roman"/>
        </w:rPr>
        <w:t>ведению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учета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применимых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юридических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обязательств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будут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уничтожены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неоправданной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задержки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завершения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расследования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95CCAF1" w14:textId="77777777" w:rsidR="00045FF9" w:rsidRPr="0053710B" w:rsidRDefault="00045FF9" w:rsidP="00045FF9">
      <w:pPr>
        <w:pStyle w:val="BodyTex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AF3104" w14:paraId="7FDCF665" w14:textId="77777777" w:rsidTr="009E7712">
        <w:tc>
          <w:tcPr>
            <w:tcW w:w="9360" w:type="dxa"/>
          </w:tcPr>
          <w:p w14:paraId="37E24E27" w14:textId="77777777" w:rsidR="00045FF9" w:rsidRPr="00F862D2" w:rsidRDefault="001C5A12" w:rsidP="009E7712">
            <w:pPr>
              <w:pStyle w:val="BodyText"/>
              <w:spacing w:before="6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Hlk68174472"/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Соблюдение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политики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Наказание</w:t>
            </w:r>
            <w:proofErr w:type="spellEnd"/>
            <w:r w:rsidR="00C61C4F" w:rsidRPr="005371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1C4F" w:rsidRPr="0053710B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="00C61C4F" w:rsidRPr="005371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61C4F" w:rsidRPr="0053710B">
              <w:rPr>
                <w:rFonts w:ascii="Times New Roman" w:hAnsi="Times New Roman" w:cs="Times New Roman"/>
                <w:b/>
                <w:sz w:val="22"/>
                <w:szCs w:val="22"/>
              </w:rPr>
              <w:t>нарушения</w:t>
            </w:r>
            <w:proofErr w:type="spellEnd"/>
          </w:p>
        </w:tc>
      </w:tr>
      <w:bookmarkEnd w:id="0"/>
    </w:tbl>
    <w:p w14:paraId="5AE584CA" w14:textId="77777777" w:rsidR="00045FF9" w:rsidRPr="0053710B" w:rsidRDefault="00045FF9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32241C37" w14:textId="77777777" w:rsidR="00045FF9" w:rsidRPr="00F862D2" w:rsidRDefault="00C61C4F" w:rsidP="00045FF9">
      <w:pPr>
        <w:pStyle w:val="BodyText"/>
        <w:spacing w:before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Любой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сотрудник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который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нарушает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эту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Политику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другую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аналогичную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политику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любого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другого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работодателя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может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быть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подвергнут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дисциплинарному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взысканию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вплоть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увольнения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Кроме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того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нарушения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этой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Политики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могут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привести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к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серьезным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последствиям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включая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уголовное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преследование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Любой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сотрудник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которого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есть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C5A12" w:rsidRPr="00133297">
        <w:rPr>
          <w:rFonts w:ascii="Times New Roman" w:hAnsi="Times New Roman" w:cs="Times New Roman"/>
          <w:sz w:val="22"/>
          <w:szCs w:val="22"/>
        </w:rPr>
        <w:t>вопросы</w:t>
      </w:r>
      <w:proofErr w:type="spellEnd"/>
      <w:r w:rsidR="001C5A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проблемы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соблюдением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этой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Политики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должен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немедленно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связаться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с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>Отделом по правовым вопросам (</w:t>
      </w:r>
      <w:r w:rsidRPr="00F862D2">
        <w:rPr>
          <w:rFonts w:ascii="Times New Roman" w:hAnsi="Times New Roman" w:cs="Times New Roman"/>
          <w:sz w:val="22"/>
          <w:szCs w:val="22"/>
        </w:rPr>
        <w:t>LRM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прежде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чем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предпринимать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какие-либо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дальнейшие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действия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. </w:t>
      </w:r>
      <w:r w:rsidR="00062223">
        <w:rPr>
          <w:rFonts w:ascii="Times New Roman" w:hAnsi="Times New Roman" w:cs="Times New Roman"/>
          <w:sz w:val="22"/>
          <w:szCs w:val="22"/>
          <w:lang w:val="ru-RU"/>
        </w:rPr>
        <w:t xml:space="preserve">Отдел </w:t>
      </w:r>
      <w:r w:rsidRPr="00F862D2">
        <w:rPr>
          <w:rFonts w:ascii="Times New Roman" w:hAnsi="Times New Roman" w:cs="Times New Roman"/>
          <w:sz w:val="22"/>
          <w:szCs w:val="22"/>
        </w:rPr>
        <w:t xml:space="preserve">LRM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оценит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ситуацию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примет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решение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том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какие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корректирующие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действия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требуются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если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таковые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862D2">
        <w:rPr>
          <w:rFonts w:ascii="Times New Roman" w:hAnsi="Times New Roman" w:cs="Times New Roman"/>
          <w:sz w:val="22"/>
          <w:szCs w:val="22"/>
        </w:rPr>
        <w:t>имеются</w:t>
      </w:r>
      <w:proofErr w:type="spellEnd"/>
      <w:r w:rsidRPr="00F862D2">
        <w:rPr>
          <w:rFonts w:ascii="Times New Roman" w:hAnsi="Times New Roman" w:cs="Times New Roman"/>
          <w:sz w:val="22"/>
          <w:szCs w:val="22"/>
        </w:rPr>
        <w:t>.</w:t>
      </w:r>
    </w:p>
    <w:p w14:paraId="2E5B33DC" w14:textId="77777777" w:rsidR="00045FF9" w:rsidRPr="00F862D2" w:rsidRDefault="00045FF9" w:rsidP="00045FF9">
      <w:pPr>
        <w:pStyle w:val="BodyText"/>
        <w:spacing w:before="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E15C81" w14:textId="77777777" w:rsidR="00045FF9" w:rsidRPr="00F862D2" w:rsidRDefault="00C61C4F" w:rsidP="00045FF9">
      <w:pPr>
        <w:jc w:val="both"/>
        <w:rPr>
          <w:rFonts w:ascii="Times New Roman" w:hAnsi="Times New Roman" w:cs="Times New Roman"/>
          <w:i/>
        </w:rPr>
      </w:pPr>
      <w:proofErr w:type="spellStart"/>
      <w:r w:rsidRPr="00F862D2">
        <w:rPr>
          <w:rFonts w:ascii="Times New Roman" w:hAnsi="Times New Roman" w:cs="Times New Roman"/>
        </w:rPr>
        <w:t>Отклонения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от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этой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Политики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не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допускаются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без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прямого</w:t>
      </w:r>
      <w:proofErr w:type="spellEnd"/>
      <w:r w:rsidRPr="00F862D2">
        <w:rPr>
          <w:rFonts w:ascii="Times New Roman" w:hAnsi="Times New Roman" w:cs="Times New Roman"/>
        </w:rPr>
        <w:t xml:space="preserve"> и </w:t>
      </w:r>
      <w:proofErr w:type="spellStart"/>
      <w:r w:rsidRPr="00F862D2">
        <w:rPr>
          <w:rFonts w:ascii="Times New Roman" w:hAnsi="Times New Roman" w:cs="Times New Roman"/>
        </w:rPr>
        <w:t>предварительного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письменного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разрешения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bookmarkStart w:id="1" w:name="_Hlk96700489"/>
      <w:proofErr w:type="spellStart"/>
      <w:r w:rsidRPr="00F862D2">
        <w:rPr>
          <w:rFonts w:ascii="Times New Roman" w:hAnsi="Times New Roman" w:cs="Times New Roman"/>
        </w:rPr>
        <w:t>Главного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юрисконсульта</w:t>
      </w:r>
      <w:proofErr w:type="spellEnd"/>
      <w:r w:rsidRPr="00F862D2">
        <w:rPr>
          <w:rFonts w:ascii="Times New Roman" w:hAnsi="Times New Roman" w:cs="Times New Roman"/>
        </w:rPr>
        <w:t xml:space="preserve"> Spectrum Brands </w:t>
      </w:r>
      <w:bookmarkEnd w:id="1"/>
      <w:proofErr w:type="spellStart"/>
      <w:r w:rsidRPr="00F862D2">
        <w:rPr>
          <w:rFonts w:ascii="Times New Roman" w:hAnsi="Times New Roman" w:cs="Times New Roman"/>
        </w:rPr>
        <w:t>или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назначенного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им</w:t>
      </w:r>
      <w:proofErr w:type="spellEnd"/>
      <w:r w:rsidRPr="00F862D2">
        <w:rPr>
          <w:rFonts w:ascii="Times New Roman" w:hAnsi="Times New Roman" w:cs="Times New Roman"/>
        </w:rPr>
        <w:t xml:space="preserve"> </w:t>
      </w:r>
      <w:proofErr w:type="spellStart"/>
      <w:r w:rsidRPr="00F862D2">
        <w:rPr>
          <w:rFonts w:ascii="Times New Roman" w:hAnsi="Times New Roman" w:cs="Times New Roman"/>
        </w:rPr>
        <w:t>лица</w:t>
      </w:r>
      <w:proofErr w:type="spellEnd"/>
      <w:r w:rsidRPr="00F862D2">
        <w:rPr>
          <w:rFonts w:ascii="Times New Roman" w:hAnsi="Times New Roman" w:cs="Times New Roman"/>
        </w:rPr>
        <w:t xml:space="preserve">. </w:t>
      </w:r>
    </w:p>
    <w:p w14:paraId="0FA6BC0C" w14:textId="77777777" w:rsidR="00045FF9" w:rsidRPr="003A60D7" w:rsidRDefault="00045FF9" w:rsidP="00045FF9">
      <w:pPr>
        <w:pStyle w:val="BodyText"/>
        <w:spacing w:before="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A88E384" w14:textId="77777777" w:rsidR="00045FF9" w:rsidRPr="003A60D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AF3104" w14:paraId="7B4E4B58" w14:textId="77777777" w:rsidTr="009E7712">
        <w:tc>
          <w:tcPr>
            <w:tcW w:w="9360" w:type="dxa"/>
          </w:tcPr>
          <w:p w14:paraId="408CF98C" w14:textId="77777777" w:rsidR="00045FF9" w:rsidRPr="003A60D7" w:rsidRDefault="00C61C4F" w:rsidP="009E7712">
            <w:pPr>
              <w:pStyle w:val="BodyText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A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Контактная</w:t>
            </w:r>
            <w:proofErr w:type="spellEnd"/>
            <w:r w:rsidRPr="003A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A60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информация</w:t>
            </w:r>
            <w:proofErr w:type="spellEnd"/>
          </w:p>
        </w:tc>
      </w:tr>
    </w:tbl>
    <w:p w14:paraId="05AD66DC" w14:textId="77777777" w:rsidR="00045FF9" w:rsidRPr="003A60D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</w:p>
    <w:p w14:paraId="684FAB02" w14:textId="77777777" w:rsidR="00045FF9" w:rsidRPr="003A60D7" w:rsidRDefault="00C61C4F" w:rsidP="00045FF9">
      <w:pPr>
        <w:pStyle w:val="Heading1"/>
        <w:spacing w:before="42" w:after="11"/>
        <w:ind w:left="0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Контактная</w:t>
      </w:r>
      <w:proofErr w:type="spellEnd"/>
      <w:r w:rsidRPr="003A60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sz w:val="22"/>
          <w:szCs w:val="22"/>
        </w:rPr>
        <w:t>информация</w:t>
      </w:r>
      <w:proofErr w:type="spellEnd"/>
    </w:p>
    <w:p w14:paraId="5360688E" w14:textId="77777777" w:rsidR="00045FF9" w:rsidRPr="003A60D7" w:rsidRDefault="00C61C4F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3A60D7">
        <w:rPr>
          <w:rFonts w:ascii="Times New Roman" w:hAnsi="Times New Roman" w:cs="Times New Roman"/>
          <w:bCs/>
          <w:sz w:val="22"/>
          <w:szCs w:val="22"/>
        </w:rPr>
        <w:t>Spectrum Brands, Inc.</w:t>
      </w:r>
    </w:p>
    <w:p w14:paraId="349800F4" w14:textId="77777777" w:rsidR="00045FF9" w:rsidRPr="003A60D7" w:rsidRDefault="001C5A12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Получатель</w:t>
      </w:r>
      <w:proofErr w:type="spellEnd"/>
      <w:r w:rsidR="00C61C4F" w:rsidRPr="003A60D7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C61C4F" w:rsidRPr="003A60D7">
        <w:rPr>
          <w:rFonts w:ascii="Times New Roman" w:hAnsi="Times New Roman" w:cs="Times New Roman"/>
          <w:bCs/>
          <w:sz w:val="22"/>
          <w:szCs w:val="22"/>
        </w:rPr>
        <w:t>Главный</w:t>
      </w:r>
      <w:proofErr w:type="spellEnd"/>
      <w:r w:rsidR="00C61C4F" w:rsidRPr="003A60D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C61C4F" w:rsidRPr="003A60D7">
        <w:rPr>
          <w:rFonts w:ascii="Times New Roman" w:hAnsi="Times New Roman" w:cs="Times New Roman"/>
          <w:bCs/>
          <w:sz w:val="22"/>
          <w:szCs w:val="22"/>
        </w:rPr>
        <w:t>юрисконсульт</w:t>
      </w:r>
      <w:proofErr w:type="spellEnd"/>
    </w:p>
    <w:p w14:paraId="466963A9" w14:textId="77777777" w:rsidR="00045FF9" w:rsidRPr="003A60D7" w:rsidRDefault="00C61C4F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3A60D7">
        <w:rPr>
          <w:rFonts w:ascii="Times New Roman" w:hAnsi="Times New Roman" w:cs="Times New Roman"/>
          <w:bCs/>
          <w:sz w:val="22"/>
          <w:szCs w:val="22"/>
        </w:rPr>
        <w:t xml:space="preserve">3001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Деминг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Уэй</w:t>
      </w:r>
      <w:proofErr w:type="spellEnd"/>
    </w:p>
    <w:p w14:paraId="54212E20" w14:textId="77777777" w:rsidR="00045FF9" w:rsidRPr="003A60D7" w:rsidRDefault="00C61C4F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Миддлтон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>, WI 53562</w:t>
      </w:r>
    </w:p>
    <w:p w14:paraId="17F35267" w14:textId="77777777" w:rsidR="00045FF9" w:rsidRPr="003A60D7" w:rsidRDefault="00045FF9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AF3104" w14:paraId="3FEF2B8A" w14:textId="77777777" w:rsidTr="009E7712">
        <w:tc>
          <w:tcPr>
            <w:tcW w:w="9360" w:type="dxa"/>
          </w:tcPr>
          <w:p w14:paraId="6CACE58C" w14:textId="77777777" w:rsidR="00045FF9" w:rsidRPr="003A60D7" w:rsidRDefault="00C61C4F" w:rsidP="009E7712">
            <w:pPr>
              <w:pStyle w:val="BodyText"/>
              <w:spacing w:before="4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A60D7">
              <w:rPr>
                <w:rFonts w:ascii="Times New Roman" w:hAnsi="Times New Roman" w:cs="Times New Roman"/>
                <w:b/>
                <w:sz w:val="22"/>
                <w:szCs w:val="22"/>
              </w:rPr>
              <w:t>Сопутствующая</w:t>
            </w:r>
            <w:proofErr w:type="spellEnd"/>
            <w:r w:rsidRPr="003A60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A60D7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</w:t>
            </w:r>
            <w:proofErr w:type="spellEnd"/>
          </w:p>
        </w:tc>
      </w:tr>
    </w:tbl>
    <w:p w14:paraId="55661463" w14:textId="77777777" w:rsidR="00045FF9" w:rsidRPr="00883412" w:rsidRDefault="00045FF9" w:rsidP="00045FF9">
      <w:pPr>
        <w:spacing w:before="226"/>
        <w:contextualSpacing/>
        <w:rPr>
          <w:rFonts w:ascii="Times New Roman" w:hAnsi="Times New Roman" w:cs="Times New Roman"/>
          <w:bCs/>
          <w:w w:val="105"/>
        </w:rPr>
      </w:pPr>
    </w:p>
    <w:p w14:paraId="48291034" w14:textId="77777777" w:rsidR="00045FF9" w:rsidRPr="003A60D7" w:rsidRDefault="00C61C4F" w:rsidP="00045FF9">
      <w:pPr>
        <w:spacing w:before="226"/>
        <w:contextualSpacing/>
        <w:rPr>
          <w:rFonts w:ascii="Times New Roman" w:hAnsi="Times New Roman" w:cs="Times New Roman"/>
          <w:b/>
        </w:rPr>
      </w:pPr>
      <w:proofErr w:type="spellStart"/>
      <w:r w:rsidRPr="003A60D7">
        <w:rPr>
          <w:rFonts w:ascii="Times New Roman" w:hAnsi="Times New Roman" w:cs="Times New Roman"/>
          <w:b/>
          <w:w w:val="105"/>
        </w:rPr>
        <w:t>Документы</w:t>
      </w:r>
      <w:proofErr w:type="spellEnd"/>
      <w:r w:rsidRPr="003A60D7">
        <w:rPr>
          <w:rFonts w:ascii="Times New Roman" w:hAnsi="Times New Roman" w:cs="Times New Roman"/>
          <w:b/>
          <w:w w:val="105"/>
        </w:rPr>
        <w:t xml:space="preserve"> Spectrum Brands:</w:t>
      </w:r>
    </w:p>
    <w:p w14:paraId="6A5F667E" w14:textId="77777777" w:rsidR="00045FF9" w:rsidRDefault="00C61C4F" w:rsidP="00045FF9">
      <w:pPr>
        <w:pStyle w:val="PolicyInfotext"/>
        <w:rPr>
          <w:sz w:val="24"/>
          <w:szCs w:val="24"/>
        </w:rPr>
      </w:pPr>
      <w:proofErr w:type="spellStart"/>
      <w:r>
        <w:rPr>
          <w:sz w:val="24"/>
          <w:szCs w:val="24"/>
        </w:rPr>
        <w:t>Кодекс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поведения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этики</w:t>
      </w:r>
      <w:proofErr w:type="spellEnd"/>
      <w:r>
        <w:rPr>
          <w:sz w:val="24"/>
          <w:szCs w:val="24"/>
        </w:rPr>
        <w:t xml:space="preserve"> </w:t>
      </w:r>
    </w:p>
    <w:p w14:paraId="68EBD42D" w14:textId="77777777" w:rsidR="00045FF9" w:rsidRPr="00342B45" w:rsidRDefault="00C61C4F" w:rsidP="00045FF9">
      <w:pPr>
        <w:pStyle w:val="PolicyInfotex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Кодекс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поведения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поставщика</w:t>
      </w:r>
      <w:proofErr w:type="spellEnd"/>
      <w:r>
        <w:rPr>
          <w:sz w:val="24"/>
          <w:szCs w:val="24"/>
        </w:rPr>
        <w:t xml:space="preserve"> </w:t>
      </w:r>
    </w:p>
    <w:p w14:paraId="3A37AB79" w14:textId="77777777" w:rsidR="00045FF9" w:rsidRPr="003A60D7" w:rsidRDefault="00C61C4F" w:rsidP="00045FF9">
      <w:pPr>
        <w:spacing w:before="99"/>
        <w:contextualSpacing/>
        <w:rPr>
          <w:rFonts w:ascii="Times New Roman" w:hAnsi="Times New Roman" w:cs="Times New Roman"/>
          <w:b/>
        </w:rPr>
      </w:pPr>
      <w:proofErr w:type="spellStart"/>
      <w:r w:rsidRPr="003A60D7">
        <w:rPr>
          <w:rFonts w:ascii="Times New Roman" w:hAnsi="Times New Roman" w:cs="Times New Roman"/>
          <w:b/>
          <w:w w:val="110"/>
        </w:rPr>
        <w:t>Другие</w:t>
      </w:r>
      <w:proofErr w:type="spellEnd"/>
      <w:r w:rsidRPr="003A60D7">
        <w:rPr>
          <w:rFonts w:ascii="Times New Roman" w:hAnsi="Times New Roman" w:cs="Times New Roman"/>
          <w:b/>
          <w:w w:val="110"/>
        </w:rPr>
        <w:t xml:space="preserve"> </w:t>
      </w:r>
      <w:proofErr w:type="spellStart"/>
      <w:r w:rsidRPr="003A60D7">
        <w:rPr>
          <w:rFonts w:ascii="Times New Roman" w:hAnsi="Times New Roman" w:cs="Times New Roman"/>
          <w:b/>
          <w:w w:val="110"/>
        </w:rPr>
        <w:t>Документы</w:t>
      </w:r>
      <w:proofErr w:type="spellEnd"/>
      <w:r w:rsidRPr="003A60D7">
        <w:rPr>
          <w:rFonts w:ascii="Times New Roman" w:hAnsi="Times New Roman" w:cs="Times New Roman"/>
          <w:b/>
          <w:w w:val="110"/>
        </w:rPr>
        <w:t>:</w:t>
      </w:r>
    </w:p>
    <w:p w14:paraId="04BA14BB" w14:textId="77777777" w:rsidR="00045FF9" w:rsidRPr="003A60D7" w:rsidRDefault="001C5A12" w:rsidP="00045FF9">
      <w:pPr>
        <w:spacing w:before="13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w w:val="110"/>
        </w:rPr>
        <w:t>Нет</w:t>
      </w:r>
      <w:proofErr w:type="spellEnd"/>
    </w:p>
    <w:p w14:paraId="71BA0041" w14:textId="77777777" w:rsidR="00045FF9" w:rsidRPr="003A60D7" w:rsidRDefault="00C61C4F" w:rsidP="00045FF9">
      <w:pPr>
        <w:spacing w:before="100"/>
        <w:contextualSpacing/>
        <w:rPr>
          <w:rFonts w:ascii="Times New Roman" w:hAnsi="Times New Roman" w:cs="Times New Roman"/>
          <w:b/>
        </w:rPr>
      </w:pPr>
      <w:proofErr w:type="spellStart"/>
      <w:r w:rsidRPr="003A60D7">
        <w:rPr>
          <w:rFonts w:ascii="Times New Roman" w:hAnsi="Times New Roman" w:cs="Times New Roman"/>
          <w:b/>
          <w:w w:val="105"/>
        </w:rPr>
        <w:t>Ссылки</w:t>
      </w:r>
      <w:proofErr w:type="spellEnd"/>
      <w:r w:rsidRPr="003A60D7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3A60D7">
        <w:rPr>
          <w:rFonts w:ascii="Times New Roman" w:hAnsi="Times New Roman" w:cs="Times New Roman"/>
          <w:b/>
          <w:w w:val="105"/>
        </w:rPr>
        <w:t>по</w:t>
      </w:r>
      <w:proofErr w:type="spellEnd"/>
      <w:r w:rsidRPr="003A60D7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3A60D7">
        <w:rPr>
          <w:rFonts w:ascii="Times New Roman" w:hAnsi="Times New Roman" w:cs="Times New Roman"/>
          <w:b/>
          <w:w w:val="105"/>
        </w:rPr>
        <w:t>теме</w:t>
      </w:r>
      <w:proofErr w:type="spellEnd"/>
      <w:r w:rsidRPr="003A60D7">
        <w:rPr>
          <w:rFonts w:ascii="Times New Roman" w:hAnsi="Times New Roman" w:cs="Times New Roman"/>
          <w:b/>
          <w:w w:val="105"/>
        </w:rPr>
        <w:t>:</w:t>
      </w:r>
    </w:p>
    <w:p w14:paraId="07A8B1E8" w14:textId="77777777" w:rsidR="00045FF9" w:rsidRPr="003A60D7" w:rsidRDefault="001C5A12" w:rsidP="00045FF9">
      <w:pPr>
        <w:spacing w:before="13"/>
        <w:contextualSpacing/>
        <w:rPr>
          <w:rFonts w:ascii="Times New Roman" w:hAnsi="Times New Roman" w:cs="Times New Roman"/>
          <w:w w:val="110"/>
        </w:rPr>
      </w:pPr>
      <w:proofErr w:type="spellStart"/>
      <w:r>
        <w:rPr>
          <w:rFonts w:ascii="Times New Roman" w:hAnsi="Times New Roman" w:cs="Times New Roman"/>
          <w:w w:val="110"/>
        </w:rPr>
        <w:t>Нет</w:t>
      </w:r>
      <w:proofErr w:type="spellEnd"/>
    </w:p>
    <w:p w14:paraId="6DBDC128" w14:textId="77777777" w:rsidR="00045FF9" w:rsidRPr="003A60D7" w:rsidRDefault="00045FF9" w:rsidP="00045FF9">
      <w:pPr>
        <w:spacing w:before="13"/>
        <w:contextualSpacing/>
        <w:rPr>
          <w:rFonts w:ascii="Times New Roman" w:hAnsi="Times New Roman" w:cs="Times New Roman"/>
          <w:w w:val="110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AF3104" w14:paraId="03A16899" w14:textId="77777777" w:rsidTr="009E7712">
        <w:tc>
          <w:tcPr>
            <w:tcW w:w="9360" w:type="dxa"/>
          </w:tcPr>
          <w:p w14:paraId="23A81E5C" w14:textId="77777777" w:rsidR="00045FF9" w:rsidRPr="003A60D7" w:rsidRDefault="00C61C4F" w:rsidP="009E7712">
            <w:pPr>
              <w:spacing w:before="13"/>
              <w:contextualSpacing/>
              <w:rPr>
                <w:rFonts w:ascii="Times New Roman" w:hAnsi="Times New Roman" w:cs="Times New Roman"/>
                <w:b/>
                <w:bCs/>
                <w:w w:val="110"/>
              </w:rPr>
            </w:pPr>
            <w:proofErr w:type="spellStart"/>
            <w:r w:rsidRPr="003A60D7">
              <w:rPr>
                <w:rFonts w:ascii="Times New Roman" w:hAnsi="Times New Roman" w:cs="Times New Roman"/>
                <w:b/>
                <w:bCs/>
                <w:w w:val="110"/>
              </w:rPr>
              <w:t>История</w:t>
            </w:r>
            <w:proofErr w:type="spellEnd"/>
            <w:r w:rsidRPr="003A60D7">
              <w:rPr>
                <w:rFonts w:ascii="Times New Roman" w:hAnsi="Times New Roman" w:cs="Times New Roman"/>
                <w:b/>
                <w:bCs/>
                <w:w w:val="110"/>
              </w:rPr>
              <w:t xml:space="preserve"> </w:t>
            </w:r>
            <w:proofErr w:type="spellStart"/>
            <w:r w:rsidRPr="003A60D7">
              <w:rPr>
                <w:rFonts w:ascii="Times New Roman" w:hAnsi="Times New Roman" w:cs="Times New Roman"/>
                <w:b/>
                <w:bCs/>
                <w:w w:val="110"/>
              </w:rPr>
              <w:t>изменений</w:t>
            </w:r>
            <w:proofErr w:type="spellEnd"/>
          </w:p>
        </w:tc>
      </w:tr>
    </w:tbl>
    <w:p w14:paraId="62365965" w14:textId="77777777" w:rsidR="00045FF9" w:rsidRPr="003A60D7" w:rsidRDefault="00045FF9" w:rsidP="00045FF9">
      <w:pPr>
        <w:spacing w:before="13"/>
        <w:contextualSpacing/>
        <w:rPr>
          <w:rFonts w:ascii="Times New Roman" w:hAnsi="Times New Roman" w:cs="Times New Roman"/>
          <w:w w:val="105"/>
        </w:rPr>
      </w:pPr>
    </w:p>
    <w:p w14:paraId="5A107126" w14:textId="77777777" w:rsidR="00045FF9" w:rsidRPr="003A60D7" w:rsidRDefault="00C61C4F" w:rsidP="00045FF9">
      <w:pPr>
        <w:tabs>
          <w:tab w:val="left" w:pos="2332"/>
        </w:tabs>
        <w:spacing w:before="103"/>
        <w:contextualSpacing/>
        <w:rPr>
          <w:rFonts w:ascii="Times New Roman" w:hAnsi="Times New Roman" w:cs="Times New Roman"/>
          <w:w w:val="105"/>
        </w:rPr>
      </w:pPr>
      <w:proofErr w:type="spellStart"/>
      <w:r>
        <w:rPr>
          <w:rFonts w:ascii="Times New Roman" w:hAnsi="Times New Roman" w:cs="Times New Roman"/>
          <w:b/>
          <w:w w:val="105"/>
        </w:rPr>
        <w:t>Август</w:t>
      </w:r>
      <w:proofErr w:type="spellEnd"/>
      <w:r>
        <w:rPr>
          <w:rFonts w:ascii="Times New Roman" w:hAnsi="Times New Roman" w:cs="Times New Roman"/>
          <w:b/>
          <w:w w:val="105"/>
        </w:rPr>
        <w:t xml:space="preserve"> 2022 </w:t>
      </w:r>
      <w:proofErr w:type="spellStart"/>
      <w:r>
        <w:rPr>
          <w:rFonts w:ascii="Times New Roman" w:hAnsi="Times New Roman" w:cs="Times New Roman"/>
          <w:b/>
          <w:w w:val="105"/>
        </w:rPr>
        <w:t>года</w:t>
      </w:r>
      <w:proofErr w:type="spellEnd"/>
      <w:r w:rsidRPr="003A60D7">
        <w:rPr>
          <w:rFonts w:ascii="Times New Roman" w:hAnsi="Times New Roman" w:cs="Times New Roman"/>
          <w:w w:val="105"/>
        </w:rPr>
        <w:tab/>
      </w:r>
      <w:proofErr w:type="spellStart"/>
      <w:r w:rsidRPr="003A60D7">
        <w:rPr>
          <w:rFonts w:ascii="Times New Roman" w:hAnsi="Times New Roman" w:cs="Times New Roman"/>
          <w:w w:val="105"/>
        </w:rPr>
        <w:t>Создание</w:t>
      </w:r>
      <w:proofErr w:type="spellEnd"/>
      <w:r w:rsidRPr="003A60D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A60D7">
        <w:rPr>
          <w:rFonts w:ascii="Times New Roman" w:hAnsi="Times New Roman" w:cs="Times New Roman"/>
          <w:w w:val="105"/>
        </w:rPr>
        <w:t>политики</w:t>
      </w:r>
      <w:proofErr w:type="spellEnd"/>
      <w:r w:rsidRPr="003A60D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A60D7">
        <w:rPr>
          <w:rFonts w:ascii="Times New Roman" w:hAnsi="Times New Roman" w:cs="Times New Roman"/>
          <w:w w:val="105"/>
        </w:rPr>
        <w:t>для</w:t>
      </w:r>
      <w:proofErr w:type="spellEnd"/>
      <w:r w:rsidRPr="003A60D7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A60D7">
        <w:rPr>
          <w:rFonts w:ascii="Times New Roman" w:hAnsi="Times New Roman" w:cs="Times New Roman"/>
          <w:w w:val="105"/>
        </w:rPr>
        <w:t>рассмотрения</w:t>
      </w:r>
      <w:proofErr w:type="spellEnd"/>
      <w:r w:rsidRPr="003A60D7">
        <w:rPr>
          <w:rFonts w:ascii="Times New Roman" w:hAnsi="Times New Roman" w:cs="Times New Roman"/>
          <w:w w:val="105"/>
        </w:rPr>
        <w:t xml:space="preserve"> и </w:t>
      </w:r>
      <w:proofErr w:type="spellStart"/>
      <w:r w:rsidRPr="003A60D7">
        <w:rPr>
          <w:rFonts w:ascii="Times New Roman" w:hAnsi="Times New Roman" w:cs="Times New Roman"/>
          <w:w w:val="105"/>
        </w:rPr>
        <w:t>утверждения</w:t>
      </w:r>
      <w:proofErr w:type="spellEnd"/>
      <w:r w:rsidRPr="003A60D7">
        <w:rPr>
          <w:rFonts w:ascii="Times New Roman" w:hAnsi="Times New Roman" w:cs="Times New Roman"/>
          <w:w w:val="105"/>
        </w:rPr>
        <w:t>.</w:t>
      </w:r>
    </w:p>
    <w:p w14:paraId="43D1A981" w14:textId="77777777" w:rsidR="00045FF9" w:rsidRPr="00883412" w:rsidRDefault="00045FF9" w:rsidP="00045FF9">
      <w:pPr>
        <w:pStyle w:val="BodyText"/>
        <w:tabs>
          <w:tab w:val="left" w:pos="2340"/>
        </w:tabs>
        <w:contextualSpacing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AF3104" w14:paraId="5B1548D3" w14:textId="77777777" w:rsidTr="009E7712">
        <w:tc>
          <w:tcPr>
            <w:tcW w:w="9360" w:type="dxa"/>
          </w:tcPr>
          <w:p w14:paraId="5D608683" w14:textId="77777777" w:rsidR="00045FF9" w:rsidRPr="003A60D7" w:rsidRDefault="00052835" w:rsidP="00052835">
            <w:pPr>
              <w:pStyle w:val="BodyText"/>
              <w:spacing w:before="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  <w:proofErr w:type="spellEnd"/>
          </w:p>
        </w:tc>
      </w:tr>
    </w:tbl>
    <w:p w14:paraId="5A979C72" w14:textId="77777777" w:rsidR="00045FF9" w:rsidRPr="003A60D7" w:rsidRDefault="00045FF9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05599A6F" w14:textId="77777777" w:rsidR="00045FF9" w:rsidRPr="003A60D7" w:rsidRDefault="00045FF9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14:paraId="0E46E31D" w14:textId="043B0C82" w:rsidR="00045FF9" w:rsidRPr="003A60D7" w:rsidRDefault="009D68B1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E8545DA" wp14:editId="69D59415">
            <wp:extent cx="1819275" cy="638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99A3" w14:textId="77777777" w:rsidR="00045FF9" w:rsidRPr="003A60D7" w:rsidRDefault="00C61C4F" w:rsidP="00045FF9">
      <w:pPr>
        <w:pStyle w:val="BodyText"/>
        <w:spacing w:before="5"/>
        <w:contextualSpacing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3A60D7">
        <w:rPr>
          <w:rFonts w:ascii="Times New Roman" w:hAnsi="Times New Roman" w:cs="Times New Roman"/>
          <w:b/>
          <w:sz w:val="22"/>
          <w:szCs w:val="22"/>
          <w:u w:val="single"/>
        </w:rPr>
        <w:tab/>
      </w:r>
    </w:p>
    <w:p w14:paraId="63A9F4B4" w14:textId="77777777" w:rsidR="00045FF9" w:rsidRPr="003A60D7" w:rsidRDefault="00C61C4F" w:rsidP="00045FF9">
      <w:pPr>
        <w:pStyle w:val="BodyText"/>
        <w:spacing w:before="5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Эхсан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Заргар</w:t>
      </w:r>
      <w:proofErr w:type="spellEnd"/>
    </w:p>
    <w:p w14:paraId="0A1D8C37" w14:textId="77777777" w:rsidR="00045FF9" w:rsidRPr="003A60D7" w:rsidRDefault="00C61C4F" w:rsidP="00045FF9">
      <w:pPr>
        <w:pStyle w:val="BodyText"/>
        <w:spacing w:before="5"/>
        <w:contextualSpacing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Исполнительный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вице-президент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Главный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юрисконсульт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Корпоративный</w:t>
      </w:r>
      <w:proofErr w:type="spellEnd"/>
      <w:r w:rsidRPr="003A60D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A60D7">
        <w:rPr>
          <w:rFonts w:ascii="Times New Roman" w:hAnsi="Times New Roman" w:cs="Times New Roman"/>
          <w:bCs/>
          <w:sz w:val="22"/>
          <w:szCs w:val="22"/>
        </w:rPr>
        <w:t>секретарь</w:t>
      </w:r>
      <w:proofErr w:type="spellEnd"/>
    </w:p>
    <w:p w14:paraId="2A98BFE5" w14:textId="77777777" w:rsidR="001D00FE" w:rsidRDefault="001D00FE"/>
    <w:sectPr w:rsidR="001D00FE" w:rsidSect="003B5E8F">
      <w:headerReference w:type="default" r:id="rId12"/>
      <w:footerReference w:type="default" r:id="rId13"/>
      <w:pgSz w:w="12240" w:h="15840"/>
      <w:pgMar w:top="1440" w:right="1440" w:bottom="1440" w:left="144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8B75A" w14:textId="77777777" w:rsidR="004A322C" w:rsidRDefault="004A322C" w:rsidP="00AF3104">
      <w:r>
        <w:separator/>
      </w:r>
    </w:p>
  </w:endnote>
  <w:endnote w:type="continuationSeparator" w:id="0">
    <w:p w14:paraId="16BC36DE" w14:textId="77777777" w:rsidR="004A322C" w:rsidRDefault="004A322C" w:rsidP="00AF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0616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EA0C0" w14:textId="77777777" w:rsidR="003B5E8F" w:rsidRDefault="003E3599">
        <w:pPr>
          <w:pStyle w:val="Footer"/>
          <w:jc w:val="center"/>
        </w:pPr>
        <w:r>
          <w:fldChar w:fldCharType="begin"/>
        </w:r>
        <w:r w:rsidR="00C61C4F">
          <w:instrText xml:space="preserve"> PAGE   \* MERGEFORMAT </w:instrText>
        </w:r>
        <w:r>
          <w:fldChar w:fldCharType="separate"/>
        </w:r>
        <w:r w:rsidR="00BC25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79AE35" w14:textId="77777777" w:rsidR="00FE1ABD" w:rsidRDefault="00FE1ABD">
    <w:pPr>
      <w:pStyle w:val="BodyText"/>
      <w:spacing w:line="14" w:lineRule="auto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D4E3A" w14:textId="77777777" w:rsidR="004A322C" w:rsidRDefault="004A322C" w:rsidP="00AF3104">
      <w:r>
        <w:separator/>
      </w:r>
    </w:p>
  </w:footnote>
  <w:footnote w:type="continuationSeparator" w:id="0">
    <w:p w14:paraId="3BD80499" w14:textId="77777777" w:rsidR="004A322C" w:rsidRDefault="004A322C" w:rsidP="00AF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D3D63" w14:textId="77777777" w:rsidR="00FE1ABD" w:rsidRDefault="00FE1AB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065FB"/>
    <w:multiLevelType w:val="multilevel"/>
    <w:tmpl w:val="459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E73D2"/>
    <w:multiLevelType w:val="hybridMultilevel"/>
    <w:tmpl w:val="37786F20"/>
    <w:lvl w:ilvl="0" w:tplc="57D4B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F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86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CF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62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409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88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AD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4886"/>
    <w:multiLevelType w:val="hybridMultilevel"/>
    <w:tmpl w:val="602615BE"/>
    <w:lvl w:ilvl="0" w:tplc="CE506CE2">
      <w:start w:val="1"/>
      <w:numFmt w:val="upperRoman"/>
      <w:lvlText w:val="%1."/>
      <w:lvlJc w:val="left"/>
      <w:pPr>
        <w:ind w:left="860" w:hanging="720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</w:rPr>
    </w:lvl>
    <w:lvl w:ilvl="1" w:tplc="B0A42A00">
      <w:start w:val="1"/>
      <w:numFmt w:val="upperLetter"/>
      <w:lvlText w:val="%2."/>
      <w:lvlJc w:val="left"/>
      <w:pPr>
        <w:ind w:left="860" w:hanging="360"/>
      </w:pPr>
      <w:rPr>
        <w:rFonts w:hint="default"/>
        <w:w w:val="100"/>
        <w:sz w:val="24"/>
        <w:szCs w:val="24"/>
      </w:rPr>
    </w:lvl>
    <w:lvl w:ilvl="2" w:tplc="D0502C2C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F350FD22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C48CE98C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2E942D44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9AAEF14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92C03540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20E8B3D6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" w15:restartNumberingAfterBreak="0">
    <w:nsid w:val="5D344B65"/>
    <w:multiLevelType w:val="multilevel"/>
    <w:tmpl w:val="5A7013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FF9"/>
    <w:rsid w:val="0000542E"/>
    <w:rsid w:val="00026666"/>
    <w:rsid w:val="00045FF9"/>
    <w:rsid w:val="00052835"/>
    <w:rsid w:val="00061B30"/>
    <w:rsid w:val="00062223"/>
    <w:rsid w:val="00067277"/>
    <w:rsid w:val="00071E46"/>
    <w:rsid w:val="0007294D"/>
    <w:rsid w:val="000871CB"/>
    <w:rsid w:val="00087D6C"/>
    <w:rsid w:val="000943BF"/>
    <w:rsid w:val="00095F22"/>
    <w:rsid w:val="00095FC2"/>
    <w:rsid w:val="000B28E6"/>
    <w:rsid w:val="001000A4"/>
    <w:rsid w:val="00106FF8"/>
    <w:rsid w:val="00121591"/>
    <w:rsid w:val="00133297"/>
    <w:rsid w:val="00145C84"/>
    <w:rsid w:val="00172EF3"/>
    <w:rsid w:val="00181F9D"/>
    <w:rsid w:val="00185CE7"/>
    <w:rsid w:val="00192C07"/>
    <w:rsid w:val="001B23E8"/>
    <w:rsid w:val="001C5A12"/>
    <w:rsid w:val="001D00FE"/>
    <w:rsid w:val="001D0697"/>
    <w:rsid w:val="00205BA9"/>
    <w:rsid w:val="0021666A"/>
    <w:rsid w:val="00225F92"/>
    <w:rsid w:val="00235066"/>
    <w:rsid w:val="00246BF0"/>
    <w:rsid w:val="00271FF1"/>
    <w:rsid w:val="0027442C"/>
    <w:rsid w:val="00275DFF"/>
    <w:rsid w:val="00276CCA"/>
    <w:rsid w:val="00276D90"/>
    <w:rsid w:val="0029390E"/>
    <w:rsid w:val="00296C0C"/>
    <w:rsid w:val="002A6394"/>
    <w:rsid w:val="002B6A88"/>
    <w:rsid w:val="002E38DD"/>
    <w:rsid w:val="002F3C58"/>
    <w:rsid w:val="003027E6"/>
    <w:rsid w:val="00323CFF"/>
    <w:rsid w:val="003305A6"/>
    <w:rsid w:val="00340B0A"/>
    <w:rsid w:val="00342B45"/>
    <w:rsid w:val="0034650C"/>
    <w:rsid w:val="00364D5F"/>
    <w:rsid w:val="00375E8E"/>
    <w:rsid w:val="003763E3"/>
    <w:rsid w:val="003806A0"/>
    <w:rsid w:val="0039618A"/>
    <w:rsid w:val="003A60D7"/>
    <w:rsid w:val="003B0C50"/>
    <w:rsid w:val="003B5E8F"/>
    <w:rsid w:val="003E3599"/>
    <w:rsid w:val="003F1CAD"/>
    <w:rsid w:val="003F7C8A"/>
    <w:rsid w:val="004067CE"/>
    <w:rsid w:val="00431557"/>
    <w:rsid w:val="00463385"/>
    <w:rsid w:val="00466526"/>
    <w:rsid w:val="00471D64"/>
    <w:rsid w:val="0049237B"/>
    <w:rsid w:val="0049698C"/>
    <w:rsid w:val="004A02B6"/>
    <w:rsid w:val="004A1B58"/>
    <w:rsid w:val="004A2CC8"/>
    <w:rsid w:val="004A322C"/>
    <w:rsid w:val="004B192C"/>
    <w:rsid w:val="004B33CA"/>
    <w:rsid w:val="004E560D"/>
    <w:rsid w:val="004F5EF3"/>
    <w:rsid w:val="005034A4"/>
    <w:rsid w:val="00512EAE"/>
    <w:rsid w:val="00524DEA"/>
    <w:rsid w:val="0053710B"/>
    <w:rsid w:val="0055212D"/>
    <w:rsid w:val="005537E4"/>
    <w:rsid w:val="005910FF"/>
    <w:rsid w:val="00593BA1"/>
    <w:rsid w:val="005B496A"/>
    <w:rsid w:val="005C1647"/>
    <w:rsid w:val="005E2DE1"/>
    <w:rsid w:val="005E6E4A"/>
    <w:rsid w:val="00601626"/>
    <w:rsid w:val="00625FE6"/>
    <w:rsid w:val="00641B85"/>
    <w:rsid w:val="0066186C"/>
    <w:rsid w:val="00685AA5"/>
    <w:rsid w:val="00696C5A"/>
    <w:rsid w:val="006973C5"/>
    <w:rsid w:val="00697F1B"/>
    <w:rsid w:val="006B74AC"/>
    <w:rsid w:val="006D45EC"/>
    <w:rsid w:val="0071718E"/>
    <w:rsid w:val="0072233E"/>
    <w:rsid w:val="00726E41"/>
    <w:rsid w:val="0073115D"/>
    <w:rsid w:val="00753BC5"/>
    <w:rsid w:val="00764232"/>
    <w:rsid w:val="007C6042"/>
    <w:rsid w:val="007E5475"/>
    <w:rsid w:val="007F2295"/>
    <w:rsid w:val="007F2B2C"/>
    <w:rsid w:val="00804669"/>
    <w:rsid w:val="0082411E"/>
    <w:rsid w:val="00836B1E"/>
    <w:rsid w:val="00836C1F"/>
    <w:rsid w:val="008650DF"/>
    <w:rsid w:val="00873FD3"/>
    <w:rsid w:val="008819E8"/>
    <w:rsid w:val="00883412"/>
    <w:rsid w:val="0089568C"/>
    <w:rsid w:val="00895FD3"/>
    <w:rsid w:val="008B2291"/>
    <w:rsid w:val="008B2BC5"/>
    <w:rsid w:val="008C242B"/>
    <w:rsid w:val="008C3104"/>
    <w:rsid w:val="008D398E"/>
    <w:rsid w:val="00906928"/>
    <w:rsid w:val="00910009"/>
    <w:rsid w:val="00910216"/>
    <w:rsid w:val="00920674"/>
    <w:rsid w:val="00942058"/>
    <w:rsid w:val="00971A4F"/>
    <w:rsid w:val="00973DEC"/>
    <w:rsid w:val="00986018"/>
    <w:rsid w:val="009B04D4"/>
    <w:rsid w:val="009B12B2"/>
    <w:rsid w:val="009C6AAE"/>
    <w:rsid w:val="009D68B1"/>
    <w:rsid w:val="009D78A0"/>
    <w:rsid w:val="009E7712"/>
    <w:rsid w:val="00A1022F"/>
    <w:rsid w:val="00A17C70"/>
    <w:rsid w:val="00A35CBA"/>
    <w:rsid w:val="00A36369"/>
    <w:rsid w:val="00A474CF"/>
    <w:rsid w:val="00A47C10"/>
    <w:rsid w:val="00A773C8"/>
    <w:rsid w:val="00A80235"/>
    <w:rsid w:val="00A8645B"/>
    <w:rsid w:val="00A87F1E"/>
    <w:rsid w:val="00A91B20"/>
    <w:rsid w:val="00A975C4"/>
    <w:rsid w:val="00AA7D80"/>
    <w:rsid w:val="00AB1C0F"/>
    <w:rsid w:val="00AD5947"/>
    <w:rsid w:val="00AD6846"/>
    <w:rsid w:val="00AF3104"/>
    <w:rsid w:val="00B0592A"/>
    <w:rsid w:val="00B0627B"/>
    <w:rsid w:val="00B071E5"/>
    <w:rsid w:val="00B1349F"/>
    <w:rsid w:val="00B5092D"/>
    <w:rsid w:val="00B511D3"/>
    <w:rsid w:val="00B5742C"/>
    <w:rsid w:val="00B6650E"/>
    <w:rsid w:val="00B7529F"/>
    <w:rsid w:val="00B909DC"/>
    <w:rsid w:val="00B94D47"/>
    <w:rsid w:val="00B96879"/>
    <w:rsid w:val="00BA0885"/>
    <w:rsid w:val="00BB7828"/>
    <w:rsid w:val="00BC0826"/>
    <w:rsid w:val="00BC2589"/>
    <w:rsid w:val="00BF4C2D"/>
    <w:rsid w:val="00BF79DE"/>
    <w:rsid w:val="00C14FA6"/>
    <w:rsid w:val="00C16830"/>
    <w:rsid w:val="00C61C4F"/>
    <w:rsid w:val="00C662C3"/>
    <w:rsid w:val="00C71448"/>
    <w:rsid w:val="00C808EC"/>
    <w:rsid w:val="00CA2BEB"/>
    <w:rsid w:val="00CA63E4"/>
    <w:rsid w:val="00CB489B"/>
    <w:rsid w:val="00CD2632"/>
    <w:rsid w:val="00CD6326"/>
    <w:rsid w:val="00D00693"/>
    <w:rsid w:val="00D17FBD"/>
    <w:rsid w:val="00D4655F"/>
    <w:rsid w:val="00D54444"/>
    <w:rsid w:val="00D6642E"/>
    <w:rsid w:val="00DA0B59"/>
    <w:rsid w:val="00DB48C3"/>
    <w:rsid w:val="00DB7FE8"/>
    <w:rsid w:val="00DC0AEB"/>
    <w:rsid w:val="00DD14CC"/>
    <w:rsid w:val="00DD5047"/>
    <w:rsid w:val="00DE06F8"/>
    <w:rsid w:val="00DE2E3A"/>
    <w:rsid w:val="00DE4EF2"/>
    <w:rsid w:val="00DE5280"/>
    <w:rsid w:val="00E02DF7"/>
    <w:rsid w:val="00E159DD"/>
    <w:rsid w:val="00E35263"/>
    <w:rsid w:val="00E44382"/>
    <w:rsid w:val="00E46CFD"/>
    <w:rsid w:val="00E47999"/>
    <w:rsid w:val="00E66A16"/>
    <w:rsid w:val="00E82677"/>
    <w:rsid w:val="00EB2EAC"/>
    <w:rsid w:val="00EC4DB7"/>
    <w:rsid w:val="00ED175C"/>
    <w:rsid w:val="00ED5B92"/>
    <w:rsid w:val="00EF21C3"/>
    <w:rsid w:val="00F01F05"/>
    <w:rsid w:val="00F02382"/>
    <w:rsid w:val="00F05EF4"/>
    <w:rsid w:val="00F41D1C"/>
    <w:rsid w:val="00F45D10"/>
    <w:rsid w:val="00F6105E"/>
    <w:rsid w:val="00F806D9"/>
    <w:rsid w:val="00F862D2"/>
    <w:rsid w:val="00F92B55"/>
    <w:rsid w:val="00FD1805"/>
    <w:rsid w:val="00FD5340"/>
    <w:rsid w:val="00FE1ABD"/>
    <w:rsid w:val="00FE38B8"/>
    <w:rsid w:val="00FE6C84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6C4C5D"/>
  <w15:docId w15:val="{326F1D71-B737-7741-BF47-E3C76CD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F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9"/>
    <w:qFormat/>
    <w:rsid w:val="00045FF9"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FF9"/>
    <w:rPr>
      <w:rFonts w:ascii="Garamond" w:eastAsia="Garamond" w:hAnsi="Garamond" w:cs="Garamond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45F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5FF9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FF9"/>
    <w:rPr>
      <w:rFonts w:ascii="Garamond" w:eastAsia="Garamond" w:hAnsi="Garamond" w:cs="Garamond"/>
    </w:rPr>
  </w:style>
  <w:style w:type="paragraph" w:styleId="NormalWeb">
    <w:name w:val="Normal (Web)"/>
    <w:basedOn w:val="Normal"/>
    <w:uiPriority w:val="99"/>
    <w:semiHidden/>
    <w:unhideWhenUsed/>
    <w:rsid w:val="00045F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45FF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Infotext">
    <w:name w:val="Policy Info text"/>
    <w:basedOn w:val="Normal"/>
    <w:autoRedefine/>
    <w:rsid w:val="00045FF9"/>
    <w:pPr>
      <w:widowControl/>
      <w:autoSpaceDE/>
      <w:autoSpaceDN/>
      <w:ind w:left="180"/>
    </w:pPr>
    <w:rPr>
      <w:rFonts w:eastAsia="Times New Roman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FF9"/>
    <w:rPr>
      <w:rFonts w:ascii="Garamond" w:eastAsia="Garamond" w:hAnsi="Garamond" w:cs="Garamon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FF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FC2"/>
    <w:rPr>
      <w:rFonts w:ascii="Garamond" w:eastAsia="Garamond" w:hAnsi="Garamond" w:cs="Garamon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650C"/>
    <w:pPr>
      <w:spacing w:after="0" w:line="240" w:lineRule="auto"/>
    </w:pPr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E4"/>
    <w:rPr>
      <w:rFonts w:ascii="Segoe UI" w:eastAsia="Garamond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57F85.A5D734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ecure.ethicspoint.com/domain/media/en/gui/7424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5489-B713-475E-95D9-6DEF397C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1974</Words>
  <Characters>10606</Characters>
  <Application>Microsoft Office Word</Application>
  <DocSecurity>0</DocSecurity>
  <Lines>160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ASTA-USA</Company>
  <LinksUpToDate>false</LinksUpToDate>
  <CharactersWithSpaces>12553</CharactersWithSpaces>
  <SharedDoc>false</SharedDoc>
  <HyperlinkBase/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https://secure.ethicspoint.com/domain/media/en/gui/7424/index.html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Mohan, Kerry</dc:creator>
  <cp:keywords/>
  <dc:description/>
  <cp:lastModifiedBy>Mohan, Kerry</cp:lastModifiedBy>
  <cp:revision>2</cp:revision>
  <dcterms:created xsi:type="dcterms:W3CDTF">2022-08-30T14:07:00Z</dcterms:created>
  <dcterms:modified xsi:type="dcterms:W3CDTF">2022-08-30T14:07:00Z</dcterms:modified>
  <cp:category/>
</cp:coreProperties>
</file>