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8D007" w14:textId="77777777" w:rsidR="00045FF9" w:rsidRPr="003A60D7" w:rsidRDefault="00045FF9" w:rsidP="00045FF9">
      <w:pPr>
        <w:pStyle w:val="BodyText"/>
        <w:contextualSpacing/>
        <w:jc w:val="center"/>
        <w:rPr>
          <w:rFonts w:ascii="Times New Roman" w:hAnsi="Times New Roman" w:cs="Times New Roman"/>
          <w:sz w:val="22"/>
          <w:szCs w:val="22"/>
        </w:rPr>
      </w:pPr>
      <w:r>
        <w:rPr>
          <w:rFonts w:ascii="Times New Roman" w:hAnsi="Times New Roman"/>
          <w:noProof/>
          <w:sz w:val="22"/>
          <w:szCs w:val="22"/>
        </w:rPr>
        <w:drawing>
          <wp:inline distT="0" distB="0" distL="0" distR="0" wp14:anchorId="4751F2C2" wp14:editId="2DDADF75">
            <wp:extent cx="1743075" cy="484098"/>
            <wp:effectExtent l="0" t="0" r="0" b="0"/>
            <wp:docPr id="1" name="image1.png"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picture containing logo&#10;&#10;Description automatically generated"/>
                    <pic:cNvPicPr/>
                  </pic:nvPicPr>
                  <pic:blipFill>
                    <a:blip r:embed="rId8" cstate="print"/>
                    <a:stretch>
                      <a:fillRect/>
                    </a:stretch>
                  </pic:blipFill>
                  <pic:spPr>
                    <a:xfrm>
                      <a:off x="0" y="0"/>
                      <a:ext cx="1790244" cy="497198"/>
                    </a:xfrm>
                    <a:prstGeom prst="rect">
                      <a:avLst/>
                    </a:prstGeom>
                  </pic:spPr>
                </pic:pic>
              </a:graphicData>
            </a:graphic>
          </wp:inline>
        </w:drawing>
      </w:r>
    </w:p>
    <w:p w14:paraId="0BE16DEB" w14:textId="10829082" w:rsidR="00045FF9" w:rsidRPr="003A60D7" w:rsidRDefault="00045FF9" w:rsidP="00045FF9">
      <w:pPr>
        <w:pStyle w:val="BodyText"/>
        <w:spacing w:before="4"/>
        <w:contextualSpacing/>
        <w:jc w:val="center"/>
        <w:rPr>
          <w:rFonts w:ascii="Times New Roman" w:hAnsi="Times New Roman" w:cs="Times New Roman"/>
          <w:b/>
          <w:sz w:val="22"/>
          <w:szCs w:val="22"/>
        </w:rPr>
      </w:pPr>
      <w:r>
        <w:rPr>
          <w:rFonts w:ascii="Times New Roman" w:hAnsi="Times New Roman"/>
          <w:noProof/>
          <w:sz w:val="22"/>
          <w:szCs w:val="22"/>
        </w:rPr>
        <mc:AlternateContent>
          <mc:Choice Requires="wps">
            <w:drawing>
              <wp:anchor distT="0" distB="0" distL="0" distR="0" simplePos="0" relativeHeight="251659264" behindDoc="0" locked="0" layoutInCell="1" allowOverlap="1" wp14:anchorId="40BB6352" wp14:editId="6FDE1621">
                <wp:simplePos x="0" y="0"/>
                <wp:positionH relativeFrom="page">
                  <wp:posOffset>959485</wp:posOffset>
                </wp:positionH>
                <wp:positionV relativeFrom="paragraph">
                  <wp:posOffset>124460</wp:posOffset>
                </wp:positionV>
                <wp:extent cx="5998210" cy="0"/>
                <wp:effectExtent l="16510" t="17780" r="14605" b="10795"/>
                <wp:wrapTopAndBottom/>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8210" cy="0"/>
                        </a:xfrm>
                        <a:prstGeom prst="line">
                          <a:avLst/>
                        </a:prstGeom>
                        <a:noFill/>
                        <a:ln w="19050">
                          <a:solidFill>
                            <a:srgbClr val="66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7DC39804" id="Line 31"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55pt,9.8pt" to="547.8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" strokecolor="#666" strokeweight="1.5pt">
                <w10:wrap type="topAndBottom" anchorx="page"/>
              </v:line>
            </w:pict>
          </mc:Fallback>
        </mc:AlternateContent>
      </w:r>
      <w:r>
        <w:rPr>
          <w:rFonts w:ascii="Times New Roman" w:hAnsi="Times New Roman"/>
          <w:b/>
          <w:bCs/>
          <w:sz w:val="22"/>
          <w:szCs w:val="22"/>
        </w:rPr>
        <w:t>Policy di conformità alla Direttiva europea</w:t>
      </w:r>
      <w:r>
        <w:rPr>
          <w:rFonts w:ascii="Times New Roman" w:hAnsi="Times New Roman"/>
          <w:b/>
          <w:sz w:val="22"/>
          <w:szCs w:val="22"/>
        </w:rPr>
        <w:t xml:space="preserve"> sul whistleblowing</w:t>
      </w:r>
    </w:p>
    <w:p w14:paraId="62428DE3" w14:textId="5093742A" w:rsidR="00045FF9" w:rsidRPr="003A60D7" w:rsidRDefault="00045FF9" w:rsidP="00AA3B69">
      <w:pPr>
        <w:pStyle w:val="BodyText"/>
        <w:tabs>
          <w:tab w:val="left" w:pos="4962"/>
        </w:tabs>
        <w:spacing w:before="4"/>
        <w:contextualSpacing/>
        <w:rPr>
          <w:rFonts w:ascii="Times New Roman" w:hAnsi="Times New Roman" w:cs="Times New Roman"/>
          <w:sz w:val="22"/>
          <w:szCs w:val="22"/>
        </w:rPr>
      </w:pPr>
      <w:r>
        <w:rPr>
          <w:rFonts w:ascii="Times New Roman" w:hAnsi="Times New Roman"/>
          <w:noProof/>
          <w:sz w:val="22"/>
          <w:szCs w:val="22"/>
        </w:rPr>
        <mc:AlternateContent>
          <mc:Choice Requires="wps">
            <w:drawing>
              <wp:anchor distT="0" distB="0" distL="0" distR="0" simplePos="0" relativeHeight="251660288" behindDoc="0" locked="0" layoutInCell="1" allowOverlap="1" wp14:anchorId="3603EBEC" wp14:editId="4F7E80FE">
                <wp:simplePos x="0" y="0"/>
                <wp:positionH relativeFrom="page">
                  <wp:posOffset>953135</wp:posOffset>
                </wp:positionH>
                <wp:positionV relativeFrom="paragraph">
                  <wp:posOffset>107950</wp:posOffset>
                </wp:positionV>
                <wp:extent cx="6010910" cy="0"/>
                <wp:effectExtent l="10160" t="11430" r="8255" b="7620"/>
                <wp:wrapTopAndBottom/>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910" cy="0"/>
                        </a:xfrm>
                        <a:prstGeom prst="line">
                          <a:avLst/>
                        </a:prstGeom>
                        <a:noFill/>
                        <a:ln w="13463">
                          <a:solidFill>
                            <a:srgbClr val="66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047956EE" id="Line 30"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05pt,8.5pt" to="548.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" strokecolor="#666" strokeweight=".37397mm">
                <w10:wrap type="topAndBottom" anchorx="page"/>
              </v:line>
            </w:pict>
          </mc:Fallback>
        </mc:AlternateContent>
      </w:r>
      <w:r>
        <w:rPr>
          <w:rFonts w:ascii="Times New Roman" w:hAnsi="Times New Roman"/>
          <w:b/>
          <w:sz w:val="22"/>
          <w:szCs w:val="22"/>
        </w:rPr>
        <w:t xml:space="preserve">Categoria: </w:t>
      </w:r>
      <w:r>
        <w:rPr>
          <w:rFonts w:ascii="Times New Roman" w:hAnsi="Times New Roman"/>
          <w:sz w:val="22"/>
          <w:szCs w:val="22"/>
        </w:rPr>
        <w:t>Area funzionale</w:t>
      </w:r>
      <w:r>
        <w:rPr>
          <w:rFonts w:ascii="Times New Roman" w:hAnsi="Times New Roman"/>
          <w:sz w:val="22"/>
          <w:szCs w:val="22"/>
        </w:rPr>
        <w:tab/>
      </w:r>
      <w:r>
        <w:rPr>
          <w:rFonts w:ascii="Times New Roman" w:hAnsi="Times New Roman"/>
          <w:b/>
          <w:sz w:val="22"/>
          <w:szCs w:val="22"/>
        </w:rPr>
        <w:t xml:space="preserve">Data di creazione: </w:t>
      </w:r>
      <w:r>
        <w:t>Agosto 2022</w:t>
      </w:r>
    </w:p>
    <w:p w14:paraId="2E4A1C2D" w14:textId="067A8397" w:rsidR="00045FF9" w:rsidRPr="003A60D7" w:rsidRDefault="00045FF9" w:rsidP="00AA3B69">
      <w:pPr>
        <w:tabs>
          <w:tab w:val="left" w:pos="4962"/>
          <w:tab w:val="left" w:pos="5670"/>
        </w:tabs>
        <w:contextualSpacing/>
        <w:rPr>
          <w:rFonts w:ascii="Times New Roman" w:hAnsi="Times New Roman" w:cs="Times New Roman"/>
          <w:b/>
        </w:rPr>
      </w:pPr>
      <w:r>
        <w:rPr>
          <w:rFonts w:ascii="Times New Roman" w:hAnsi="Times New Roman"/>
          <w:b/>
        </w:rPr>
        <w:t xml:space="preserve">Dipartimento responsabile: </w:t>
      </w:r>
      <w:r>
        <w:rPr>
          <w:rFonts w:ascii="Times New Roman" w:hAnsi="Times New Roman"/>
        </w:rPr>
        <w:t>Nome del dipartimento</w:t>
      </w:r>
      <w:r>
        <w:rPr>
          <w:rFonts w:ascii="Times New Roman" w:hAnsi="Times New Roman"/>
        </w:rPr>
        <w:tab/>
      </w:r>
      <w:r>
        <w:rPr>
          <w:rFonts w:ascii="Times New Roman" w:hAnsi="Times New Roman"/>
          <w:b/>
        </w:rPr>
        <w:t xml:space="preserve">Data dell’ultima revisione: </w:t>
      </w:r>
      <w:r>
        <w:rPr>
          <w:rFonts w:ascii="Times New Roman" w:hAnsi="Times New Roman"/>
          <w:bCs/>
        </w:rPr>
        <w:t>Agosto 2022</w:t>
      </w:r>
    </w:p>
    <w:p w14:paraId="6C27B499" w14:textId="2516F3A6" w:rsidR="00045FF9" w:rsidRPr="00AA3B69" w:rsidRDefault="00045FF9" w:rsidP="00AA3B69">
      <w:pPr>
        <w:tabs>
          <w:tab w:val="left" w:pos="4962"/>
          <w:tab w:val="left" w:pos="5940"/>
        </w:tabs>
        <w:spacing w:before="120"/>
        <w:ind w:right="-846"/>
        <w:contextualSpacing/>
        <w:rPr>
          <w:rFonts w:ascii="Times New Roman" w:hAnsi="Times New Roman" w:cs="Times New Roman"/>
          <w:bCs/>
          <w:spacing w:val="-4"/>
        </w:rPr>
      </w:pPr>
      <w:r>
        <w:rPr>
          <w:rFonts w:ascii="Times New Roman" w:hAnsi="Times New Roman"/>
          <w:b/>
        </w:rPr>
        <w:t xml:space="preserve">Dirigente responsabile: </w:t>
      </w:r>
      <w:r>
        <w:rPr>
          <w:rFonts w:ascii="Times New Roman" w:hAnsi="Times New Roman"/>
        </w:rPr>
        <w:t>Ehsan Zargar</w:t>
      </w:r>
      <w:r>
        <w:rPr>
          <w:rFonts w:ascii="Times New Roman" w:hAnsi="Times New Roman"/>
        </w:rPr>
        <w:tab/>
      </w:r>
      <w:r>
        <w:rPr>
          <w:rFonts w:ascii="Times New Roman" w:hAnsi="Times New Roman"/>
          <w:b/>
        </w:rPr>
        <w:t xml:space="preserve">Data </w:t>
      </w:r>
      <w:r w:rsidRPr="00AA3B69">
        <w:rPr>
          <w:rFonts w:ascii="Times New Roman" w:hAnsi="Times New Roman"/>
          <w:b/>
          <w:spacing w:val="-4"/>
        </w:rPr>
        <w:t xml:space="preserve">di inserimento nella libreria SPB: </w:t>
      </w:r>
      <w:r w:rsidRPr="00AA3B69">
        <w:rPr>
          <w:rFonts w:ascii="Times New Roman" w:hAnsi="Times New Roman"/>
          <w:bCs/>
          <w:spacing w:val="-4"/>
        </w:rPr>
        <w:t>Agosto 2022</w:t>
      </w:r>
    </w:p>
    <w:p w14:paraId="4A485202" w14:textId="77777777" w:rsidR="00045FF9" w:rsidRPr="003A60D7" w:rsidRDefault="00045FF9" w:rsidP="00045FF9">
      <w:pPr>
        <w:tabs>
          <w:tab w:val="left" w:pos="5490"/>
          <w:tab w:val="left" w:pos="5940"/>
        </w:tabs>
        <w:spacing w:before="120"/>
        <w:contextualSpacing/>
        <w:rPr>
          <w:rFonts w:ascii="Times New Roman" w:hAnsi="Times New Roman" w:cs="Times New Roman"/>
        </w:rPr>
      </w:pPr>
    </w:p>
    <w:tbl>
      <w:tblPr>
        <w:tblStyle w:val="TableGrid"/>
        <w:tblW w:w="9450" w:type="dxa"/>
        <w:tblInd w:w="108" w:type="dxa"/>
        <w:tblLook w:val="04A0" w:firstRow="1" w:lastRow="0" w:firstColumn="1" w:lastColumn="0" w:noHBand="0" w:noVBand="1"/>
      </w:tblPr>
      <w:tblGrid>
        <w:gridCol w:w="9450"/>
      </w:tblGrid>
      <w:tr w:rsidR="00045FF9" w:rsidRPr="003A60D7" w14:paraId="49CE261A" w14:textId="77777777" w:rsidTr="009E7712">
        <w:trPr>
          <w:trHeight w:val="260"/>
        </w:trPr>
        <w:tc>
          <w:tcPr>
            <w:tcW w:w="9450" w:type="dxa"/>
          </w:tcPr>
          <w:p w14:paraId="537EFD74" w14:textId="77777777" w:rsidR="00045FF9" w:rsidRPr="003A60D7" w:rsidRDefault="00045FF9" w:rsidP="009E7712">
            <w:pPr>
              <w:pStyle w:val="BodyText"/>
              <w:spacing w:before="123"/>
              <w:contextualSpacing/>
              <w:jc w:val="both"/>
              <w:rPr>
                <w:rFonts w:ascii="Times New Roman" w:hAnsi="Times New Roman" w:cs="Times New Roman"/>
                <w:b/>
                <w:bCs/>
                <w:sz w:val="22"/>
                <w:szCs w:val="22"/>
              </w:rPr>
            </w:pPr>
            <w:r>
              <w:rPr>
                <w:rFonts w:ascii="Times New Roman" w:hAnsi="Times New Roman"/>
                <w:b/>
                <w:bCs/>
                <w:sz w:val="22"/>
                <w:szCs w:val="22"/>
              </w:rPr>
              <w:t>Riepilogo</w:t>
            </w:r>
          </w:p>
        </w:tc>
      </w:tr>
    </w:tbl>
    <w:p w14:paraId="0498A0EB" w14:textId="77777777" w:rsidR="00045FF9" w:rsidRPr="003A60D7" w:rsidRDefault="00045FF9" w:rsidP="00045FF9">
      <w:pPr>
        <w:pStyle w:val="BodyText"/>
        <w:contextualSpacing/>
        <w:rPr>
          <w:rFonts w:ascii="Times New Roman" w:hAnsi="Times New Roman" w:cs="Times New Roman"/>
          <w:sz w:val="22"/>
          <w:szCs w:val="22"/>
        </w:rPr>
      </w:pPr>
    </w:p>
    <w:p w14:paraId="6E62194E" w14:textId="7E80CA84" w:rsidR="00045FF9" w:rsidRPr="003A60D7" w:rsidRDefault="00045FF9" w:rsidP="00B5092D">
      <w:pPr>
        <w:pStyle w:val="BodyText"/>
        <w:tabs>
          <w:tab w:val="left" w:pos="5040"/>
        </w:tabs>
        <w:spacing w:before="123"/>
        <w:contextualSpacing/>
        <w:jc w:val="both"/>
        <w:rPr>
          <w:rFonts w:ascii="Times New Roman" w:hAnsi="Times New Roman" w:cs="Times New Roman"/>
          <w:sz w:val="22"/>
          <w:szCs w:val="22"/>
        </w:rPr>
      </w:pPr>
      <w:r>
        <w:rPr>
          <w:rFonts w:ascii="Times New Roman" w:hAnsi="Times New Roman"/>
          <w:sz w:val="22"/>
          <w:szCs w:val="22"/>
        </w:rPr>
        <w:t>La presente Policy di conformità alla Direttiva Whistleblower dell'Unione Europea (la “</w:t>
      </w:r>
      <w:r>
        <w:rPr>
          <w:rFonts w:ascii="Times New Roman" w:hAnsi="Times New Roman"/>
          <w:sz w:val="22"/>
          <w:szCs w:val="22"/>
          <w:u w:val="single"/>
        </w:rPr>
        <w:t>Policy</w:t>
      </w:r>
      <w:r>
        <w:rPr>
          <w:rFonts w:ascii="Times New Roman" w:hAnsi="Times New Roman"/>
          <w:sz w:val="22"/>
          <w:szCs w:val="22"/>
        </w:rPr>
        <w:t>”) definisce la politica di Spectrum Brands Holdings, Inc. e delle sue controllate e affiliate (collettivamente, “</w:t>
      </w:r>
      <w:r>
        <w:rPr>
          <w:rFonts w:ascii="Times New Roman" w:hAnsi="Times New Roman"/>
          <w:sz w:val="22"/>
          <w:szCs w:val="22"/>
          <w:u w:val="single"/>
        </w:rPr>
        <w:t>Spectrum Brands</w:t>
      </w:r>
      <w:r>
        <w:rPr>
          <w:rFonts w:ascii="Times New Roman" w:hAnsi="Times New Roman"/>
          <w:sz w:val="22"/>
          <w:szCs w:val="22"/>
        </w:rPr>
        <w:t>” o la “</w:t>
      </w:r>
      <w:r>
        <w:rPr>
          <w:rFonts w:ascii="Times New Roman" w:hAnsi="Times New Roman"/>
          <w:sz w:val="22"/>
          <w:szCs w:val="22"/>
          <w:u w:val="single"/>
        </w:rPr>
        <w:t>Società</w:t>
      </w:r>
      <w:r>
        <w:rPr>
          <w:rFonts w:ascii="Times New Roman" w:hAnsi="Times New Roman"/>
          <w:sz w:val="22"/>
          <w:szCs w:val="22"/>
        </w:rPr>
        <w:t>”) al fine di aderire per intero alla (“</w:t>
      </w:r>
      <w:r>
        <w:rPr>
          <w:rFonts w:ascii="Times New Roman" w:hAnsi="Times New Roman"/>
          <w:sz w:val="22"/>
          <w:szCs w:val="22"/>
          <w:u w:val="single"/>
        </w:rPr>
        <w:t>Direttiva</w:t>
      </w:r>
      <w:r>
        <w:rPr>
          <w:rFonts w:ascii="Times New Roman" w:hAnsi="Times New Roman"/>
          <w:sz w:val="22"/>
          <w:szCs w:val="22"/>
        </w:rPr>
        <w:t>”</w:t>
      </w:r>
      <w:r>
        <w:rPr>
          <w:rFonts w:ascii="Times New Roman" w:hAnsi="Times New Roman"/>
          <w:sz w:val="22"/>
          <w:szCs w:val="22"/>
          <w:u w:val="single"/>
        </w:rPr>
        <w:t>)</w:t>
      </w:r>
      <w:r>
        <w:rPr>
          <w:rFonts w:ascii="Times New Roman" w:hAnsi="Times New Roman"/>
          <w:sz w:val="22"/>
          <w:szCs w:val="22"/>
        </w:rPr>
        <w:t xml:space="preserve"> 2019/1937 dell’Unione europea (“UE”), la Direttiva sul Whistleblowing dell’UE (la “</w:t>
      </w:r>
      <w:r>
        <w:rPr>
          <w:rFonts w:ascii="Times New Roman" w:hAnsi="Times New Roman"/>
          <w:sz w:val="22"/>
          <w:szCs w:val="22"/>
          <w:u w:val="single"/>
        </w:rPr>
        <w:t>Direttiva</w:t>
      </w:r>
      <w:r>
        <w:rPr>
          <w:rFonts w:ascii="Times New Roman" w:hAnsi="Times New Roman"/>
          <w:sz w:val="22"/>
          <w:szCs w:val="22"/>
        </w:rPr>
        <w:t>”). Questa Policy è intesa come guida, sia per i Segnalanti (Whistleblower), come ivi definiti, che per i responsabili della ricezione, dell'indagine e delle azioni conseguenti alle segnalazioni ai sensi della presente Policy.</w:t>
      </w:r>
    </w:p>
    <w:p w14:paraId="4471BF8B" w14:textId="77777777" w:rsidR="00045FF9" w:rsidRPr="003A60D7" w:rsidRDefault="00045FF9" w:rsidP="00045FF9">
      <w:pPr>
        <w:pStyle w:val="BodyText"/>
        <w:contextualSpacing/>
        <w:rPr>
          <w:rFonts w:ascii="Times New Roman" w:hAnsi="Times New Roman" w:cs="Times New Roman"/>
          <w:sz w:val="22"/>
          <w:szCs w:val="22"/>
        </w:rPr>
      </w:pPr>
    </w:p>
    <w:tbl>
      <w:tblPr>
        <w:tblStyle w:val="TableGrid"/>
        <w:tblW w:w="9450" w:type="dxa"/>
        <w:tblInd w:w="108" w:type="dxa"/>
        <w:tblLook w:val="04A0" w:firstRow="1" w:lastRow="0" w:firstColumn="1" w:lastColumn="0" w:noHBand="0" w:noVBand="1"/>
      </w:tblPr>
      <w:tblGrid>
        <w:gridCol w:w="9450"/>
      </w:tblGrid>
      <w:tr w:rsidR="00045FF9" w:rsidRPr="003A60D7" w14:paraId="2FF750D8" w14:textId="77777777" w:rsidTr="009E7712">
        <w:tc>
          <w:tcPr>
            <w:tcW w:w="9450" w:type="dxa"/>
          </w:tcPr>
          <w:p w14:paraId="5ACE1B39" w14:textId="77777777" w:rsidR="00045FF9" w:rsidRPr="003A60D7" w:rsidRDefault="00045FF9" w:rsidP="009E7712">
            <w:pPr>
              <w:pStyle w:val="BodyText"/>
              <w:contextualSpacing/>
              <w:rPr>
                <w:rFonts w:ascii="Times New Roman" w:hAnsi="Times New Roman" w:cs="Times New Roman"/>
                <w:b/>
                <w:bCs/>
                <w:sz w:val="22"/>
                <w:szCs w:val="22"/>
              </w:rPr>
            </w:pPr>
            <w:r>
              <w:rPr>
                <w:rFonts w:ascii="Times New Roman" w:hAnsi="Times New Roman"/>
                <w:b/>
                <w:bCs/>
                <w:sz w:val="22"/>
                <w:szCs w:val="22"/>
              </w:rPr>
              <w:t>Ambito</w:t>
            </w:r>
          </w:p>
        </w:tc>
      </w:tr>
    </w:tbl>
    <w:p w14:paraId="3DE540F7" w14:textId="77777777" w:rsidR="00045FF9" w:rsidRPr="003A60D7" w:rsidRDefault="00045FF9" w:rsidP="00045FF9">
      <w:pPr>
        <w:pStyle w:val="BodyText"/>
        <w:contextualSpacing/>
        <w:rPr>
          <w:rFonts w:ascii="Times New Roman" w:hAnsi="Times New Roman" w:cs="Times New Roman"/>
          <w:sz w:val="22"/>
          <w:szCs w:val="22"/>
        </w:rPr>
      </w:pPr>
    </w:p>
    <w:p w14:paraId="28F7947F" w14:textId="35563CB8" w:rsidR="00986018" w:rsidRPr="00986018" w:rsidRDefault="00045FF9" w:rsidP="00986018">
      <w:pPr>
        <w:pStyle w:val="BodyText"/>
        <w:contextualSpacing/>
        <w:jc w:val="both"/>
        <w:rPr>
          <w:rFonts w:ascii="Times New Roman" w:hAnsi="Times New Roman" w:cs="Times New Roman"/>
          <w:sz w:val="22"/>
          <w:szCs w:val="22"/>
        </w:rPr>
      </w:pPr>
      <w:r>
        <w:rPr>
          <w:rFonts w:ascii="Times New Roman" w:hAnsi="Times New Roman"/>
          <w:sz w:val="22"/>
          <w:szCs w:val="22"/>
        </w:rPr>
        <w:t>La presente Policy si applica a tutti i dipendenti di Spectrum Brands che lavorano nell'Unione Europea, compresi i dipendenti a tempo pieno, part-time, temporanei, stagionali o a tempo determinato, nonché gli stagisti o gli appaltatori che agiscono per conto di Spectrum Brands. La Policy è intesa anche a tutela di coloro che non sono ancora dipendenti di Spectrum Brands, se le informazioni che desiderano segnalare vengono acquisite durante il processo di assunzione o le trattative precontrattuali. Alcuni Paesi possono avere requisiti di legge locali che differiscono o vanno oltre i requisiti della presente Policy. In tal caso, si applicherà anche qualsiasi legge o policy locale applicabile.  È improbabile che si verifichino conflitti tra le leggi locali applicabili e la presente Policy ma, nel caso in cui ve ne siano o ne vengano individuate, siete pregati di comunicarlo a Spectrum Brands. In ogni caso, la legislazione locale avrà la priorità su un eventuale requisito contrastante di cui alla presente Policy. Questa Policy non può e non intende estendersi a tutte le leggi applicabili o fornire risposte a tutte le domande che potrebbero sorgere; per questo dobbiamo, in ultima analisi, affidarci all'approccio diligente di ciascuno per accertare ciò che è giusto e per comprendere quando chiedere consiglio ad altri sulla linea di condotta a cui attenersi, quando appropriato.</w:t>
      </w:r>
    </w:p>
    <w:p w14:paraId="1EFA1D0C" w14:textId="391E7364" w:rsidR="00045FF9" w:rsidRPr="003A60D7" w:rsidRDefault="00DE2E3A" w:rsidP="00045FF9">
      <w:pPr>
        <w:pStyle w:val="BodyText"/>
        <w:contextualSpacing/>
        <w:jc w:val="both"/>
        <w:rPr>
          <w:rFonts w:ascii="Times New Roman" w:hAnsi="Times New Roman" w:cs="Times New Roman"/>
          <w:sz w:val="22"/>
          <w:szCs w:val="22"/>
        </w:rPr>
      </w:pPr>
      <w:r>
        <w:rPr>
          <w:rFonts w:ascii="Times New Roman" w:hAnsi="Times New Roman"/>
          <w:sz w:val="22"/>
          <w:szCs w:val="22"/>
        </w:rPr>
        <w:t xml:space="preserve"> </w:t>
      </w:r>
    </w:p>
    <w:p w14:paraId="7C391C9D" w14:textId="77777777" w:rsidR="00045FF9" w:rsidRPr="003A60D7" w:rsidRDefault="00045FF9" w:rsidP="00045FF9">
      <w:pPr>
        <w:pStyle w:val="BodyText"/>
        <w:contextualSpacing/>
        <w:rPr>
          <w:rFonts w:ascii="Times New Roman" w:hAnsi="Times New Roman" w:cs="Times New Roman"/>
          <w:sz w:val="22"/>
          <w:szCs w:val="22"/>
        </w:rPr>
      </w:pPr>
    </w:p>
    <w:tbl>
      <w:tblPr>
        <w:tblStyle w:val="TableGrid"/>
        <w:tblW w:w="9540" w:type="dxa"/>
        <w:tblInd w:w="18" w:type="dxa"/>
        <w:tblLook w:val="04A0" w:firstRow="1" w:lastRow="0" w:firstColumn="1" w:lastColumn="0" w:noHBand="0" w:noVBand="1"/>
      </w:tblPr>
      <w:tblGrid>
        <w:gridCol w:w="9540"/>
      </w:tblGrid>
      <w:tr w:rsidR="00045FF9" w:rsidRPr="003A60D7" w14:paraId="7869AE2E" w14:textId="77777777" w:rsidTr="009E7712">
        <w:tc>
          <w:tcPr>
            <w:tcW w:w="9540" w:type="dxa"/>
          </w:tcPr>
          <w:p w14:paraId="360BA946" w14:textId="77777777" w:rsidR="00045FF9" w:rsidRPr="003A60D7" w:rsidRDefault="00045FF9" w:rsidP="009E7712">
            <w:pPr>
              <w:pStyle w:val="BodyText"/>
              <w:spacing w:before="220"/>
              <w:contextualSpacing/>
              <w:jc w:val="both"/>
              <w:rPr>
                <w:rFonts w:ascii="Times New Roman" w:hAnsi="Times New Roman" w:cs="Times New Roman"/>
                <w:b/>
                <w:bCs/>
                <w:sz w:val="22"/>
                <w:szCs w:val="22"/>
              </w:rPr>
            </w:pPr>
            <w:r>
              <w:rPr>
                <w:rFonts w:ascii="Times New Roman" w:hAnsi="Times New Roman"/>
                <w:b/>
                <w:bCs/>
                <w:sz w:val="22"/>
                <w:szCs w:val="22"/>
              </w:rPr>
              <w:t>Conformità alla policy</w:t>
            </w:r>
          </w:p>
        </w:tc>
      </w:tr>
    </w:tbl>
    <w:p w14:paraId="094C0D0E" w14:textId="77777777" w:rsidR="00045FF9" w:rsidRPr="003A60D7" w:rsidRDefault="00045FF9" w:rsidP="00045FF9">
      <w:pPr>
        <w:pStyle w:val="BodyText"/>
        <w:spacing w:before="2"/>
        <w:contextualSpacing/>
        <w:rPr>
          <w:rFonts w:ascii="Times New Roman" w:hAnsi="Times New Roman" w:cs="Times New Roman"/>
          <w:bCs/>
          <w:sz w:val="22"/>
          <w:szCs w:val="22"/>
        </w:rPr>
      </w:pPr>
    </w:p>
    <w:p w14:paraId="459D8CC1" w14:textId="77777777" w:rsidR="00045FF9" w:rsidRPr="003A60D7" w:rsidRDefault="00045FF9" w:rsidP="00045FF9">
      <w:pPr>
        <w:pStyle w:val="Heading1"/>
        <w:numPr>
          <w:ilvl w:val="0"/>
          <w:numId w:val="1"/>
        </w:numPr>
        <w:tabs>
          <w:tab w:val="left" w:pos="859"/>
          <w:tab w:val="left" w:pos="860"/>
        </w:tabs>
        <w:ind w:left="0" w:firstLine="0"/>
        <w:contextualSpacing/>
        <w:jc w:val="both"/>
        <w:rPr>
          <w:rFonts w:ascii="Times New Roman" w:hAnsi="Times New Roman" w:cs="Times New Roman"/>
          <w:sz w:val="22"/>
          <w:szCs w:val="22"/>
        </w:rPr>
      </w:pPr>
      <w:r>
        <w:rPr>
          <w:rFonts w:ascii="Times New Roman" w:hAnsi="Times New Roman"/>
          <w:sz w:val="22"/>
          <w:szCs w:val="22"/>
        </w:rPr>
        <w:t>Scenario e riepilogo</w:t>
      </w:r>
    </w:p>
    <w:p w14:paraId="482DAA92" w14:textId="77777777" w:rsidR="00045FF9" w:rsidRPr="003A60D7" w:rsidRDefault="00045FF9" w:rsidP="00045FF9">
      <w:pPr>
        <w:pStyle w:val="BodyText"/>
        <w:spacing w:before="2"/>
        <w:contextualSpacing/>
        <w:rPr>
          <w:rFonts w:ascii="Times New Roman" w:hAnsi="Times New Roman" w:cs="Times New Roman"/>
          <w:bCs/>
          <w:sz w:val="22"/>
          <w:szCs w:val="22"/>
        </w:rPr>
      </w:pPr>
    </w:p>
    <w:p w14:paraId="77CB4636" w14:textId="5FD92AB1" w:rsidR="00A474CF" w:rsidRDefault="00087D6C" w:rsidP="00045FF9">
      <w:pPr>
        <w:pStyle w:val="BodyText"/>
        <w:spacing w:before="2"/>
        <w:contextualSpacing/>
        <w:jc w:val="both"/>
        <w:rPr>
          <w:rFonts w:ascii="Times New Roman" w:eastAsia="Times New Roman" w:hAnsi="Times New Roman" w:cs="Times New Roman"/>
          <w:spacing w:val="8"/>
          <w:sz w:val="22"/>
          <w:szCs w:val="22"/>
        </w:rPr>
      </w:pPr>
      <w:r>
        <w:rPr>
          <w:rFonts w:ascii="Times New Roman" w:hAnsi="Times New Roman"/>
          <w:sz w:val="22"/>
          <w:szCs w:val="22"/>
        </w:rPr>
        <w:t>I “</w:t>
      </w:r>
      <w:r>
        <w:rPr>
          <w:rFonts w:ascii="Times New Roman" w:hAnsi="Times New Roman"/>
          <w:sz w:val="22"/>
          <w:szCs w:val="22"/>
          <w:u w:val="single"/>
        </w:rPr>
        <w:t>Whistleblower, o Segnalanti</w:t>
      </w:r>
      <w:r>
        <w:rPr>
          <w:rFonts w:ascii="Times New Roman" w:hAnsi="Times New Roman"/>
          <w:sz w:val="22"/>
          <w:szCs w:val="22"/>
        </w:rPr>
        <w:t>” sono coloro che segnalano violazioni della legislazione o dei regolamenti dell'UE riguardanti, in particolare ma non solo, le seguenti aree: (i) appalti pubblici; (ii) servizi, prodotti e mercati finanziari e prevenzione del riciclaggio di denaro o del finanziamento del terrorismo; (iii) sicurezza e conformità dei prodotti; (iv) sicurezza dei trasporti; (v) protezione dell'ambiente; (vi) protezione dalle radiazioni e sicurezza nucleare; (vii) sicurezza degli alimenti e dei mangimi, compresi la salute e il benessere degli animali; (viii) salute pubblica; (ix) protezione dei consumatori; (x) protezione della privacy e dei dati personali, compresa la sicurezza delle reti e dei sistemi informatici; (xi) violazioni che incidono sugli interessi finanziari dell'UE; (xii) altre violazioni relative al mercato interno dell'UE, comprese la normativa dell'UE in materia di concorrenza e sovvenzioni statali (collettivamente denominate “</w:t>
      </w:r>
      <w:r>
        <w:rPr>
          <w:rFonts w:ascii="Times New Roman" w:hAnsi="Times New Roman"/>
          <w:sz w:val="22"/>
          <w:szCs w:val="22"/>
          <w:u w:val="single"/>
        </w:rPr>
        <w:t>Violazioni</w:t>
      </w:r>
      <w:r>
        <w:rPr>
          <w:rFonts w:ascii="Times New Roman" w:hAnsi="Times New Roman"/>
          <w:sz w:val="22"/>
          <w:szCs w:val="22"/>
        </w:rPr>
        <w:t>”).</w:t>
      </w:r>
    </w:p>
    <w:p w14:paraId="0D9E4064" w14:textId="77777777" w:rsidR="00DA0B59" w:rsidRDefault="00DA0B59" w:rsidP="00045FF9">
      <w:pPr>
        <w:pStyle w:val="BodyText"/>
        <w:spacing w:before="2"/>
        <w:contextualSpacing/>
        <w:jc w:val="both"/>
        <w:rPr>
          <w:rFonts w:ascii="Times New Roman" w:eastAsia="Times New Roman" w:hAnsi="Times New Roman" w:cs="Times New Roman"/>
          <w:spacing w:val="8"/>
          <w:sz w:val="22"/>
          <w:szCs w:val="22"/>
        </w:rPr>
      </w:pPr>
    </w:p>
    <w:p w14:paraId="0DC37618" w14:textId="07053D3B" w:rsidR="00A474CF" w:rsidRDefault="00B94D47" w:rsidP="00045FF9">
      <w:pPr>
        <w:pStyle w:val="BodyText"/>
        <w:spacing w:before="2"/>
        <w:contextualSpacing/>
        <w:jc w:val="both"/>
        <w:rPr>
          <w:rFonts w:ascii="Times New Roman" w:eastAsia="Times New Roman" w:hAnsi="Times New Roman" w:cs="Times New Roman"/>
          <w:spacing w:val="8"/>
          <w:sz w:val="22"/>
          <w:szCs w:val="22"/>
        </w:rPr>
      </w:pPr>
      <w:r>
        <w:rPr>
          <w:rFonts w:ascii="Times New Roman" w:hAnsi="Times New Roman"/>
          <w:sz w:val="22"/>
          <w:szCs w:val="22"/>
        </w:rPr>
        <w:t xml:space="preserve">Gli Stati membri dell'UE hanno la facoltà di estendere la protezione prevista dalle loro leggi nazionali ad aree non elencate sopra. La presente Informativa sarà via via aggiornata con l’implementazione da parte dei vari Stati membri della Direttiva attraverso le leggi nazionali e le tutele descritte nella presente Policy potrebbero essere più ampie a seconda della sede dell'entità Spectrum Brands che impiega l'utente. Per quanto riguarda i responsabili delle indagini sulle segnalazioni, le procedure per ciascuna entità di Spectrum Brands possono variare in base allo Stato membro in cui ha sede l'entità stessa. È possibile che sussistano variazioni sostanziali nell'attuazione della Direttiva nei vari Stati membri dell'UE e quindi nelle diverse entità della Società soggette a questa Policy. Se un dipendente non è sicuro di quale direttiva o normativa si applichi in un Paese o in una situazione specifica, è pregato di contattare il Team Legale e Gestione dei rischi (LRM, Legal and Risk Management Team). </w:t>
      </w:r>
    </w:p>
    <w:p w14:paraId="432FCEE0" w14:textId="77777777" w:rsidR="00895FD3" w:rsidRPr="00B13638" w:rsidRDefault="00895FD3" w:rsidP="00045FF9">
      <w:pPr>
        <w:pStyle w:val="BodyText"/>
        <w:spacing w:before="9"/>
        <w:contextualSpacing/>
        <w:rPr>
          <w:rFonts w:ascii="Times New Roman" w:hAnsi="Times New Roman" w:cs="Times New Roman"/>
          <w:bCs/>
          <w:sz w:val="18"/>
          <w:szCs w:val="18"/>
        </w:rPr>
      </w:pPr>
    </w:p>
    <w:p w14:paraId="79853285" w14:textId="40D2AAC7" w:rsidR="00045FF9" w:rsidRDefault="00B7529F" w:rsidP="00DA0B59">
      <w:pPr>
        <w:pStyle w:val="BodyText"/>
        <w:numPr>
          <w:ilvl w:val="0"/>
          <w:numId w:val="1"/>
        </w:numPr>
        <w:spacing w:before="9"/>
        <w:ind w:left="720"/>
        <w:contextualSpacing/>
        <w:jc w:val="both"/>
        <w:rPr>
          <w:rFonts w:ascii="Times New Roman" w:hAnsi="Times New Roman" w:cs="Times New Roman"/>
          <w:sz w:val="22"/>
          <w:szCs w:val="22"/>
        </w:rPr>
      </w:pPr>
      <w:r>
        <w:rPr>
          <w:rFonts w:ascii="Times New Roman" w:hAnsi="Times New Roman"/>
          <w:b/>
          <w:bCs/>
          <w:sz w:val="22"/>
          <w:szCs w:val="22"/>
        </w:rPr>
        <w:t>Condizioni della tutela ai sensi di questa Policy</w:t>
      </w:r>
    </w:p>
    <w:p w14:paraId="05F012C1" w14:textId="77777777" w:rsidR="00045FF9" w:rsidRDefault="00045FF9" w:rsidP="00045FF9">
      <w:pPr>
        <w:pStyle w:val="BodyText"/>
        <w:spacing w:before="9"/>
        <w:contextualSpacing/>
        <w:jc w:val="both"/>
        <w:rPr>
          <w:rFonts w:ascii="Times New Roman" w:hAnsi="Times New Roman" w:cs="Times New Roman"/>
          <w:sz w:val="22"/>
          <w:szCs w:val="22"/>
        </w:rPr>
      </w:pPr>
    </w:p>
    <w:p w14:paraId="4FE0F582" w14:textId="2177DE2A" w:rsidR="00045FF9" w:rsidRPr="003A60D7" w:rsidRDefault="00A47C10" w:rsidP="00B7529F">
      <w:pPr>
        <w:pStyle w:val="BodyText"/>
        <w:spacing w:before="9"/>
        <w:contextualSpacing/>
        <w:jc w:val="both"/>
        <w:rPr>
          <w:rFonts w:ascii="Times New Roman" w:hAnsi="Times New Roman" w:cs="Times New Roman"/>
          <w:b/>
          <w:sz w:val="22"/>
          <w:szCs w:val="22"/>
        </w:rPr>
      </w:pPr>
      <w:r>
        <w:rPr>
          <w:rFonts w:ascii="Times New Roman" w:hAnsi="Times New Roman"/>
          <w:sz w:val="22"/>
          <w:szCs w:val="22"/>
        </w:rPr>
        <w:t>I Segnalanti saranno tutelati a condizione che abbiano ragionevoli motivi per ritenere che le informazioni in loro possesso relative a una violazione fossero vere nel momento in cui le hanno segnalate, che rientrino nell'ambito di applicazione della presente Policy e della Direttiva e che abbiano segnalato tali informazioni internamente in base a quanto stabilito dalla presente Policy o esternamente, ai sensi delle leggi dello Stato membro dell'UE in cui ha sede l'entità Spectrum Brands che li impiega.</w:t>
      </w:r>
    </w:p>
    <w:p w14:paraId="043751A6" w14:textId="77777777" w:rsidR="00045FF9" w:rsidRPr="003A60D7" w:rsidRDefault="00045FF9" w:rsidP="00045FF9">
      <w:pPr>
        <w:pStyle w:val="BodyText"/>
        <w:spacing w:before="9"/>
        <w:contextualSpacing/>
        <w:rPr>
          <w:rFonts w:ascii="Times New Roman" w:hAnsi="Times New Roman" w:cs="Times New Roman"/>
          <w:bCs/>
          <w:sz w:val="22"/>
          <w:szCs w:val="22"/>
        </w:rPr>
      </w:pPr>
    </w:p>
    <w:p w14:paraId="5944037A" w14:textId="7992BD60" w:rsidR="00045FF9" w:rsidRPr="003A60D7" w:rsidRDefault="00973DEC" w:rsidP="00045FF9">
      <w:pPr>
        <w:pStyle w:val="Heading1"/>
        <w:numPr>
          <w:ilvl w:val="0"/>
          <w:numId w:val="1"/>
        </w:numPr>
        <w:tabs>
          <w:tab w:val="left" w:pos="859"/>
          <w:tab w:val="left" w:pos="860"/>
        </w:tabs>
        <w:ind w:left="0" w:firstLine="0"/>
        <w:contextualSpacing/>
        <w:jc w:val="both"/>
        <w:rPr>
          <w:rFonts w:ascii="Times New Roman" w:hAnsi="Times New Roman" w:cs="Times New Roman"/>
          <w:sz w:val="22"/>
          <w:szCs w:val="22"/>
        </w:rPr>
      </w:pPr>
      <w:r>
        <w:rPr>
          <w:rFonts w:ascii="Times New Roman" w:hAnsi="Times New Roman"/>
          <w:sz w:val="22"/>
          <w:szCs w:val="22"/>
        </w:rPr>
        <w:t>Procedure di segnalazione interna</w:t>
      </w:r>
    </w:p>
    <w:p w14:paraId="214645AD" w14:textId="77777777" w:rsidR="00045FF9" w:rsidRPr="003A60D7" w:rsidRDefault="00045FF9" w:rsidP="00045FF9">
      <w:pPr>
        <w:pStyle w:val="Heading1"/>
        <w:tabs>
          <w:tab w:val="left" w:pos="859"/>
          <w:tab w:val="left" w:pos="860"/>
        </w:tabs>
        <w:ind w:left="0"/>
        <w:contextualSpacing/>
        <w:jc w:val="both"/>
        <w:rPr>
          <w:rFonts w:ascii="Times New Roman" w:hAnsi="Times New Roman" w:cs="Times New Roman"/>
          <w:b w:val="0"/>
          <w:bCs w:val="0"/>
          <w:sz w:val="22"/>
          <w:szCs w:val="22"/>
        </w:rPr>
      </w:pPr>
    </w:p>
    <w:p w14:paraId="1FEBB5F9" w14:textId="05A96709" w:rsidR="00045FF9" w:rsidRDefault="0007294D" w:rsidP="00045FF9">
      <w:pPr>
        <w:pStyle w:val="BodyText"/>
        <w:contextualSpacing/>
        <w:jc w:val="both"/>
        <w:rPr>
          <w:rFonts w:ascii="Times New Roman" w:hAnsi="Times New Roman" w:cs="Times New Roman"/>
          <w:sz w:val="22"/>
          <w:szCs w:val="22"/>
        </w:rPr>
      </w:pPr>
      <w:r>
        <w:rPr>
          <w:rFonts w:ascii="Times New Roman" w:hAnsi="Times New Roman"/>
          <w:sz w:val="22"/>
          <w:szCs w:val="22"/>
        </w:rPr>
        <w:t xml:space="preserve">Spectrum Brands mette a disposizione dei Segnalanti un canale dedicato interno riservato, sicuro e che consente la segnalazione sia scritta che orale di informazioni relative a una Violazione. È disponibile una linea di assistenza telefonica dedicata 24 ore su 24 al numero 1-866-384-4277 e un sito web, </w:t>
      </w:r>
      <w:hyperlink r:id="rId9" w:history="1">
        <w:r>
          <w:rPr>
            <w:rStyle w:val="Hyperlink"/>
            <w:rFonts w:ascii="Times New Roman" w:hAnsi="Times New Roman"/>
            <w:sz w:val="22"/>
            <w:szCs w:val="22"/>
          </w:rPr>
          <w:t>https://secure.ethicspoint.com/domain/media/en/gui/7424/index.html</w:t>
        </w:r>
      </w:hyperlink>
      <w:r>
        <w:rPr>
          <w:rFonts w:ascii="Times New Roman" w:hAnsi="Times New Roman"/>
          <w:sz w:val="22"/>
          <w:szCs w:val="22"/>
        </w:rPr>
        <w:t>. La persona o le persone responsabili della ricezione di una segnalazione da parte di un Segnalante dovranno fornirne la conferma al Segnalante stesso entro sette (7) giorni di calendario a decorrere dalla ricezione originale.</w:t>
      </w:r>
    </w:p>
    <w:p w14:paraId="2191B3BB" w14:textId="6DA8D769" w:rsidR="00FD1805" w:rsidRPr="00B13638" w:rsidRDefault="00FD1805" w:rsidP="00045FF9">
      <w:pPr>
        <w:pStyle w:val="BodyText"/>
        <w:contextualSpacing/>
        <w:jc w:val="both"/>
        <w:rPr>
          <w:rFonts w:ascii="Times New Roman" w:hAnsi="Times New Roman" w:cs="Times New Roman"/>
          <w:sz w:val="18"/>
          <w:szCs w:val="18"/>
        </w:rPr>
      </w:pPr>
    </w:p>
    <w:p w14:paraId="015CC61E" w14:textId="5396AABE" w:rsidR="00FD1805" w:rsidRPr="00B13638" w:rsidRDefault="00FD1805" w:rsidP="00045FF9">
      <w:pPr>
        <w:pStyle w:val="BodyText"/>
        <w:contextualSpacing/>
        <w:jc w:val="both"/>
        <w:rPr>
          <w:rFonts w:ascii="Times New Roman" w:hAnsi="Times New Roman" w:cs="Times New Roman"/>
          <w:spacing w:val="-4"/>
          <w:sz w:val="22"/>
          <w:szCs w:val="22"/>
        </w:rPr>
      </w:pPr>
      <w:r w:rsidRPr="00B13638">
        <w:rPr>
          <w:rFonts w:ascii="Times New Roman" w:hAnsi="Times New Roman"/>
          <w:spacing w:val="-4"/>
          <w:sz w:val="22"/>
          <w:szCs w:val="22"/>
        </w:rPr>
        <w:t>Una persona o un dipartimento imparziale all'interno di Spectrum Brands (l'"Ispettore") sarà responsabile di seguire e di effettuare le indagini relative alla segnalazione, tra cui acquisire ulteriori informazioni e dare un feedback al Segnalante. L'Ispettore può essere la stessa persona o lo stesso dipartimento a cui è stata fatta la segnalazione iniziale.</w:t>
      </w:r>
    </w:p>
    <w:p w14:paraId="67FA50FD" w14:textId="0901F8D8" w:rsidR="00AB1C0F" w:rsidRPr="00B13638" w:rsidRDefault="00AB1C0F" w:rsidP="00045FF9">
      <w:pPr>
        <w:pStyle w:val="BodyText"/>
        <w:contextualSpacing/>
        <w:jc w:val="both"/>
        <w:rPr>
          <w:rFonts w:ascii="Times New Roman" w:hAnsi="Times New Roman" w:cs="Times New Roman"/>
          <w:spacing w:val="-4"/>
          <w:sz w:val="18"/>
          <w:szCs w:val="18"/>
        </w:rPr>
      </w:pPr>
    </w:p>
    <w:p w14:paraId="2BB41E68" w14:textId="0FC3D531" w:rsidR="00AB1C0F" w:rsidRPr="00B13638" w:rsidRDefault="00C808EC" w:rsidP="00045FF9">
      <w:pPr>
        <w:pStyle w:val="BodyText"/>
        <w:contextualSpacing/>
        <w:jc w:val="both"/>
        <w:rPr>
          <w:rFonts w:ascii="Times New Roman" w:hAnsi="Times New Roman" w:cs="Times New Roman"/>
          <w:spacing w:val="-4"/>
          <w:sz w:val="22"/>
          <w:szCs w:val="22"/>
        </w:rPr>
      </w:pPr>
      <w:r w:rsidRPr="00B13638">
        <w:rPr>
          <w:rFonts w:ascii="Times New Roman" w:hAnsi="Times New Roman"/>
          <w:spacing w:val="-4"/>
          <w:sz w:val="22"/>
          <w:szCs w:val="22"/>
        </w:rPr>
        <w:t>L'Ispettore dovrà dare diligentemente confermare al Segnalante la ricezione della segnalazione, e in ogni caso non oltre sette (7) giorni dalla ricezione della segnalazione iniziale. L'Ispettore dovrà quindi diligentemente effettuare un'indagine approfondita delle richieste e delle informazioni di cui alla segnalazione. Tale indagine può comprendere, tra l'altro, un colloquio con il Segnalante e una verifica indipendente delle affermazioni di cui alla segnalazione. L'Ispettore dovrà inoltre contattare il Consulente legale generale di Spectrum Brands o il suo incaricato per informarlo della presentazione di una segnalazione, delle misure adottate e dello stato dell'indagine.</w:t>
      </w:r>
    </w:p>
    <w:p w14:paraId="73FB9996" w14:textId="164006EE" w:rsidR="00BA0885" w:rsidRPr="00B13638" w:rsidRDefault="00BA0885" w:rsidP="00045FF9">
      <w:pPr>
        <w:pStyle w:val="BodyText"/>
        <w:contextualSpacing/>
        <w:jc w:val="both"/>
        <w:rPr>
          <w:rFonts w:ascii="Times New Roman" w:hAnsi="Times New Roman" w:cs="Times New Roman"/>
          <w:spacing w:val="-4"/>
          <w:sz w:val="18"/>
          <w:szCs w:val="18"/>
        </w:rPr>
      </w:pPr>
    </w:p>
    <w:p w14:paraId="4490A156" w14:textId="47C78FAC" w:rsidR="00045FF9" w:rsidRPr="00B13638" w:rsidRDefault="00B1349F" w:rsidP="004B33CA">
      <w:pPr>
        <w:pStyle w:val="BodyText"/>
        <w:contextualSpacing/>
        <w:jc w:val="both"/>
        <w:rPr>
          <w:rFonts w:ascii="Times New Roman" w:hAnsi="Times New Roman" w:cs="Times New Roman"/>
          <w:spacing w:val="-4"/>
          <w:sz w:val="22"/>
          <w:szCs w:val="22"/>
        </w:rPr>
      </w:pPr>
      <w:r w:rsidRPr="00B13638">
        <w:rPr>
          <w:rFonts w:ascii="Times New Roman" w:hAnsi="Times New Roman"/>
          <w:spacing w:val="-4"/>
          <w:sz w:val="22"/>
          <w:szCs w:val="22"/>
        </w:rPr>
        <w:t>Entro un termine ragionevole, ma non superiore a tre (3) mesi dalla ricezione della segnalazione, l'Ispettore fornirà un riscontro al Segnalante in merito ai risultati dell'indagine e alle misure adottate o che saranno adottate per porre rimedio agli eventuali illeciti confermati dall'indagine.</w:t>
      </w:r>
    </w:p>
    <w:p w14:paraId="70A21D88" w14:textId="1653CBAB" w:rsidR="00471D64" w:rsidRPr="00B13638" w:rsidRDefault="00471D64" w:rsidP="004B33CA">
      <w:pPr>
        <w:pStyle w:val="BodyText"/>
        <w:contextualSpacing/>
        <w:jc w:val="both"/>
        <w:rPr>
          <w:rFonts w:ascii="Times New Roman" w:hAnsi="Times New Roman" w:cs="Times New Roman"/>
          <w:spacing w:val="-4"/>
          <w:sz w:val="18"/>
          <w:szCs w:val="18"/>
        </w:rPr>
      </w:pPr>
    </w:p>
    <w:p w14:paraId="7B8A494A" w14:textId="2947B759" w:rsidR="00045FF9" w:rsidRPr="00B13638" w:rsidRDefault="00471D64" w:rsidP="00045FF9">
      <w:pPr>
        <w:pStyle w:val="BodyText"/>
        <w:contextualSpacing/>
        <w:jc w:val="both"/>
        <w:rPr>
          <w:rFonts w:ascii="Times New Roman" w:hAnsi="Times New Roman" w:cs="Times New Roman"/>
          <w:spacing w:val="-4"/>
          <w:sz w:val="22"/>
          <w:szCs w:val="22"/>
        </w:rPr>
      </w:pPr>
      <w:r w:rsidRPr="00B13638">
        <w:rPr>
          <w:rFonts w:ascii="Times New Roman" w:hAnsi="Times New Roman"/>
          <w:spacing w:val="-4"/>
          <w:sz w:val="22"/>
          <w:szCs w:val="22"/>
        </w:rPr>
        <w:t>L'identità del Segnalante, comprese le informazioni che possono identificarlo, non deve essere rivelata a nessuno al di fuori dell’Ispettore senza l'esplicito consenso scritto del Segnalante stesso, fatti salvi quei casi in cui sia necessario farlo per ottemperare ai requisiti della legge applicabile, o ai fini dell’indagine.  L'identità del Segnalante può essere divulgata solo se necessario per adempiere a un obbligo legale imposto dal diritto dell'Unione Europea o da quello di un altro Stato membro, compresa la divulgazione richiesta ai fini di un procedimento giudiziario.</w:t>
      </w:r>
    </w:p>
    <w:p w14:paraId="032A8F0D" w14:textId="72802DE7" w:rsidR="00045FF9" w:rsidRPr="003A60D7" w:rsidRDefault="004B33CA" w:rsidP="00045FF9">
      <w:pPr>
        <w:pStyle w:val="Heading1"/>
        <w:numPr>
          <w:ilvl w:val="0"/>
          <w:numId w:val="1"/>
        </w:numPr>
        <w:tabs>
          <w:tab w:val="left" w:pos="859"/>
          <w:tab w:val="left" w:pos="860"/>
        </w:tabs>
        <w:ind w:left="0" w:firstLine="0"/>
        <w:contextualSpacing/>
        <w:jc w:val="both"/>
        <w:rPr>
          <w:rFonts w:ascii="Times New Roman" w:hAnsi="Times New Roman" w:cs="Times New Roman"/>
          <w:sz w:val="22"/>
          <w:szCs w:val="22"/>
        </w:rPr>
      </w:pPr>
      <w:r>
        <w:rPr>
          <w:rFonts w:ascii="Times New Roman" w:hAnsi="Times New Roman"/>
          <w:sz w:val="22"/>
          <w:szCs w:val="22"/>
        </w:rPr>
        <w:lastRenderedPageBreak/>
        <w:t>Canali esterni di segnalazione</w:t>
      </w:r>
    </w:p>
    <w:p w14:paraId="12BEA03F" w14:textId="77777777" w:rsidR="00045FF9" w:rsidRPr="003A60D7" w:rsidRDefault="00045FF9" w:rsidP="00045FF9">
      <w:pPr>
        <w:pStyle w:val="BodyText"/>
        <w:contextualSpacing/>
        <w:jc w:val="both"/>
        <w:rPr>
          <w:rFonts w:ascii="Times New Roman" w:eastAsia="Times New Roman" w:hAnsi="Times New Roman" w:cs="Times New Roman"/>
          <w:spacing w:val="8"/>
          <w:sz w:val="22"/>
          <w:szCs w:val="22"/>
        </w:rPr>
      </w:pPr>
    </w:p>
    <w:p w14:paraId="36163F0C" w14:textId="75F313F0" w:rsidR="00045FF9" w:rsidRDefault="003806A0" w:rsidP="00045FF9">
      <w:pPr>
        <w:pStyle w:val="BodyText"/>
        <w:contextualSpacing/>
        <w:jc w:val="both"/>
        <w:rPr>
          <w:rFonts w:ascii="Times New Roman" w:hAnsi="Times New Roman" w:cs="Times New Roman"/>
          <w:sz w:val="22"/>
          <w:szCs w:val="22"/>
        </w:rPr>
      </w:pPr>
      <w:r>
        <w:rPr>
          <w:rFonts w:ascii="Times New Roman" w:hAnsi="Times New Roman"/>
          <w:sz w:val="22"/>
          <w:szCs w:val="22"/>
        </w:rPr>
        <w:t>Gli Stati membri dell'UE hanno l'obbligo, ai sensi della Direttiva, di definire i propri canali di segnalazione delle violazioni.  I segnalanti possono scegliere di effettuare la segnalazione attraverso questi canali esterni. La disponibilità, le policy e le procedure di questi tali di segnalazione esterni variano a seconda dello Stato membro dell'UE in cui si trova il Segnalante.</w:t>
      </w:r>
    </w:p>
    <w:p w14:paraId="22B83920" w14:textId="10744CD5" w:rsidR="00026666" w:rsidRDefault="00026666" w:rsidP="00045FF9">
      <w:pPr>
        <w:pStyle w:val="BodyText"/>
        <w:contextualSpacing/>
        <w:jc w:val="both"/>
        <w:rPr>
          <w:rFonts w:ascii="Times New Roman" w:hAnsi="Times New Roman" w:cs="Times New Roman"/>
          <w:sz w:val="22"/>
          <w:szCs w:val="22"/>
        </w:rPr>
      </w:pPr>
    </w:p>
    <w:p w14:paraId="58B43070" w14:textId="142C73F3" w:rsidR="00026666" w:rsidRPr="003A60D7" w:rsidRDefault="00026666" w:rsidP="00045FF9">
      <w:pPr>
        <w:pStyle w:val="BodyText"/>
        <w:contextualSpacing/>
        <w:jc w:val="both"/>
        <w:rPr>
          <w:rFonts w:ascii="Times New Roman" w:hAnsi="Times New Roman" w:cs="Times New Roman"/>
          <w:sz w:val="22"/>
          <w:szCs w:val="22"/>
        </w:rPr>
      </w:pPr>
      <w:r>
        <w:rPr>
          <w:rFonts w:ascii="Times New Roman" w:hAnsi="Times New Roman"/>
          <w:sz w:val="22"/>
          <w:szCs w:val="22"/>
        </w:rPr>
        <w:t>Sebbene i Segnalanti possano effettuare una segnalazione sia tramite canali interni che esterni, Spectrum Brands incoraggia la segnalazione attraverso i canali interni, in conformità con la presente Policy.</w:t>
      </w:r>
    </w:p>
    <w:p w14:paraId="0E7D75A5" w14:textId="77777777" w:rsidR="00045FF9" w:rsidRPr="003A60D7" w:rsidRDefault="00045FF9" w:rsidP="00045FF9">
      <w:pPr>
        <w:pStyle w:val="BodyText"/>
        <w:contextualSpacing/>
        <w:jc w:val="both"/>
        <w:rPr>
          <w:rFonts w:ascii="Times New Roman" w:hAnsi="Times New Roman" w:cs="Times New Roman"/>
          <w:sz w:val="22"/>
          <w:szCs w:val="22"/>
        </w:rPr>
      </w:pPr>
    </w:p>
    <w:p w14:paraId="54A72783" w14:textId="60B1136B" w:rsidR="00BF79DE" w:rsidRPr="00764232" w:rsidRDefault="00764232" w:rsidP="00DA0B59">
      <w:pPr>
        <w:pStyle w:val="BodyText"/>
        <w:numPr>
          <w:ilvl w:val="0"/>
          <w:numId w:val="1"/>
        </w:numPr>
        <w:ind w:left="720"/>
        <w:contextualSpacing/>
        <w:jc w:val="both"/>
        <w:rPr>
          <w:rFonts w:ascii="Times New Roman" w:hAnsi="Times New Roman" w:cs="Times New Roman"/>
          <w:sz w:val="22"/>
          <w:szCs w:val="22"/>
        </w:rPr>
      </w:pPr>
      <w:r>
        <w:rPr>
          <w:rFonts w:ascii="Times New Roman" w:hAnsi="Times New Roman"/>
          <w:b/>
          <w:bCs/>
          <w:sz w:val="22"/>
          <w:szCs w:val="22"/>
        </w:rPr>
        <w:t>Divieto di ritorsioni</w:t>
      </w:r>
    </w:p>
    <w:p w14:paraId="14D58889" w14:textId="68769165" w:rsidR="00764232" w:rsidRDefault="00764232" w:rsidP="00764232">
      <w:pPr>
        <w:pStyle w:val="BodyText"/>
        <w:contextualSpacing/>
        <w:jc w:val="both"/>
        <w:rPr>
          <w:rFonts w:ascii="Times New Roman" w:hAnsi="Times New Roman" w:cs="Times New Roman"/>
          <w:sz w:val="22"/>
          <w:szCs w:val="22"/>
        </w:rPr>
      </w:pPr>
    </w:p>
    <w:p w14:paraId="27B4B406" w14:textId="0950D8B3" w:rsidR="00764232" w:rsidRDefault="007F2295" w:rsidP="00764232">
      <w:pPr>
        <w:pStyle w:val="BodyText"/>
        <w:contextualSpacing/>
        <w:jc w:val="both"/>
        <w:rPr>
          <w:rFonts w:ascii="Times New Roman" w:hAnsi="Times New Roman" w:cs="Times New Roman"/>
          <w:sz w:val="22"/>
          <w:szCs w:val="22"/>
        </w:rPr>
      </w:pPr>
      <w:r>
        <w:rPr>
          <w:rFonts w:ascii="Times New Roman" w:hAnsi="Times New Roman"/>
          <w:sz w:val="22"/>
          <w:szCs w:val="22"/>
        </w:rPr>
        <w:t>In alcuna circostanza i dipendenti, gli azionisti o chiunque lavori per conto di Spectrum Brands reagiranno con ritorsioni nei confronti dei Segnalanti. Ciò include, ma non limitatamente a, quanto segue: (i) sospensione, licenziamento, destituzione o equivalente, (ii) retrocessione o rifiuto di una promozione, (iii) trasferimento di mansioni, cambiamento di sede di lavoro, riduzione del salario o modifica dell'orario di lavoro, (iv) rifiuto di formazione, (v) valutazioni negative delle prestazioni o referenze lavorative, (vi) imposizione di misure o sanzioni disciplinari, comprese sanzioni pecuniarie di qualsiasi tipo, (vii) intimidazione, molestia o ostracismo ai danni del Segnalante, (viii) discriminazione o trattamento iniquo del Segnalante rispetto agli altri soggetti che si trovano in una situazione simile, (ix) mancata conversione di un contratto di lavoro temporaneo in uno a tempo indeterminato quando il Segnalante abbia una legittima aspettativa di impiego a tempo indeterminato, (x) mancato rinnovo o risoluzione anticipata di un contratto temporaneo, (xi) danno alla reputazione del Segnalante, sui social media o in altro modo, (xii) inserimento del Segnalante nella lista nera di un accordo di settore (formale o informale), (xiii) risoluzione anticipata o annullamento di un contratto con il Segnalante o con un'entità correlata, (xiv) annullamento di licenze o permessi, (xv) invio del Segnalante a cure psichiatriche o mediche.</w:t>
      </w:r>
    </w:p>
    <w:p w14:paraId="56D0F959" w14:textId="29FAA7A5" w:rsidR="00764232" w:rsidRDefault="00764232" w:rsidP="00764232">
      <w:pPr>
        <w:pStyle w:val="BodyText"/>
        <w:contextualSpacing/>
        <w:jc w:val="both"/>
        <w:rPr>
          <w:rFonts w:ascii="Times New Roman" w:hAnsi="Times New Roman" w:cs="Times New Roman"/>
          <w:sz w:val="22"/>
          <w:szCs w:val="22"/>
        </w:rPr>
      </w:pPr>
    </w:p>
    <w:p w14:paraId="0FFE3664" w14:textId="189078E0" w:rsidR="00764232" w:rsidRDefault="00B071E5" w:rsidP="00764232">
      <w:pPr>
        <w:pStyle w:val="BodyText"/>
        <w:contextualSpacing/>
        <w:jc w:val="both"/>
        <w:rPr>
          <w:rFonts w:ascii="Times New Roman" w:hAnsi="Times New Roman" w:cs="Times New Roman"/>
          <w:sz w:val="22"/>
          <w:szCs w:val="22"/>
        </w:rPr>
      </w:pPr>
      <w:r>
        <w:rPr>
          <w:rFonts w:ascii="Times New Roman" w:hAnsi="Times New Roman"/>
          <w:sz w:val="22"/>
          <w:szCs w:val="22"/>
        </w:rPr>
        <w:t>Qualora chi abbia l'autorità di intraprendere una di queste azioni nei confronti di un Segnalante ritenga che una di queste misure sia appropriata o che sarebbe stata intrapresa nei confronti del Segnalante se la presente Policy non lo avesse proibito, tale persona dovrà contattare immediatamente il Consulente legale generale di Spectrum Brands o un suo incaricato.</w:t>
      </w:r>
    </w:p>
    <w:p w14:paraId="19372C27" w14:textId="77777777" w:rsidR="00764232" w:rsidRPr="0053710B" w:rsidRDefault="00764232" w:rsidP="00764232">
      <w:pPr>
        <w:pStyle w:val="BodyText"/>
        <w:contextualSpacing/>
        <w:jc w:val="both"/>
        <w:rPr>
          <w:rFonts w:ascii="Times New Roman" w:hAnsi="Times New Roman" w:cs="Times New Roman"/>
          <w:sz w:val="22"/>
          <w:szCs w:val="22"/>
        </w:rPr>
      </w:pPr>
    </w:p>
    <w:tbl>
      <w:tblPr>
        <w:tblStyle w:val="TableGrid"/>
        <w:tblW w:w="9360" w:type="dxa"/>
        <w:tblInd w:w="108" w:type="dxa"/>
        <w:tblLook w:val="04A0" w:firstRow="1" w:lastRow="0" w:firstColumn="1" w:lastColumn="0" w:noHBand="0" w:noVBand="1"/>
      </w:tblPr>
      <w:tblGrid>
        <w:gridCol w:w="9360"/>
      </w:tblGrid>
      <w:tr w:rsidR="00045FF9" w:rsidRPr="00223647" w14:paraId="1F0E7676" w14:textId="77777777" w:rsidTr="009E7712">
        <w:tc>
          <w:tcPr>
            <w:tcW w:w="9360" w:type="dxa"/>
          </w:tcPr>
          <w:p w14:paraId="4008721C" w14:textId="0721F498" w:rsidR="00045FF9" w:rsidRPr="00F862D2" w:rsidRDefault="000871CB" w:rsidP="009E7712">
            <w:pPr>
              <w:pStyle w:val="BodyText"/>
              <w:spacing w:before="6"/>
              <w:contextualSpacing/>
              <w:rPr>
                <w:rFonts w:ascii="Times New Roman" w:hAnsi="Times New Roman" w:cs="Times New Roman"/>
                <w:b/>
                <w:sz w:val="22"/>
                <w:szCs w:val="22"/>
              </w:rPr>
            </w:pPr>
            <w:r>
              <w:rPr>
                <w:rFonts w:ascii="Times New Roman" w:hAnsi="Times New Roman"/>
                <w:b/>
                <w:sz w:val="22"/>
                <w:szCs w:val="22"/>
              </w:rPr>
              <w:t>Regole generali per la gestione delle segnalazioni e per la conservazione dei dati</w:t>
            </w:r>
          </w:p>
        </w:tc>
      </w:tr>
    </w:tbl>
    <w:p w14:paraId="08E361FD" w14:textId="77777777" w:rsidR="00045FF9" w:rsidRDefault="00045FF9" w:rsidP="00045FF9">
      <w:pPr>
        <w:rPr>
          <w:rFonts w:ascii="Times New Roman" w:hAnsi="Times New Roman" w:cs="Times New Roman"/>
        </w:rPr>
      </w:pPr>
    </w:p>
    <w:p w14:paraId="1632E793" w14:textId="29397A39" w:rsidR="00045FF9" w:rsidRDefault="00D6642E" w:rsidP="00045FF9">
      <w:pPr>
        <w:jc w:val="both"/>
        <w:rPr>
          <w:rFonts w:ascii="Times New Roman" w:hAnsi="Times New Roman" w:cs="Times New Roman"/>
        </w:rPr>
      </w:pPr>
      <w:r>
        <w:rPr>
          <w:rFonts w:ascii="Times New Roman" w:hAnsi="Times New Roman"/>
        </w:rPr>
        <w:t>Qualsiasi dato personale che identifichi o possa identificare il Segnalante dovrà essere trattato in conformità alle disposizioni del Regolamento generale sulla protezione dei dati 2016/679, noto anche come GDPR. I dati personali completamente irrilevanti per ai fini dell’indagine in merito alle segnalazioni non saranno raccolti e, qualora raccolti, saranno eliminati.</w:t>
      </w:r>
    </w:p>
    <w:p w14:paraId="429CE415" w14:textId="17E6C6A8" w:rsidR="0072233E" w:rsidRDefault="0072233E" w:rsidP="00045FF9">
      <w:pPr>
        <w:jc w:val="both"/>
        <w:rPr>
          <w:rFonts w:ascii="Times New Roman" w:hAnsi="Times New Roman" w:cs="Times New Roman"/>
        </w:rPr>
      </w:pPr>
    </w:p>
    <w:p w14:paraId="0B5FEA62" w14:textId="7E3A6D91" w:rsidR="0072233E" w:rsidRPr="0053710B" w:rsidRDefault="00F05EF4" w:rsidP="00045FF9">
      <w:pPr>
        <w:jc w:val="both"/>
        <w:rPr>
          <w:rFonts w:ascii="Times New Roman" w:hAnsi="Times New Roman" w:cs="Times New Roman"/>
        </w:rPr>
      </w:pPr>
      <w:r>
        <w:rPr>
          <w:rFonts w:ascii="Times New Roman" w:hAnsi="Times New Roman"/>
        </w:rPr>
        <w:t xml:space="preserve">Spectrum Brands conserverà le registrazioni di ogni segnalazione ricevuta in modo riservato e sicuro. Le segnalazioni che potrebbero ragionevolmente essere oggetto di procedimenti legali saranno conservate fino al termine definitivo o alla data di prescrizione del procedimento legale. Le segnalazioni e tutta la documentazione associata, che non sono ragionevolmente oggetto di ulteriori procedimenti legali, indagini esterne o altre segnalazioni, nella misura consentita dai requisiti di conservazione dei documenti della Società e dagli obblighi legali applicabili, saranno distrutte senza indebito ritardo al termine dell’indagine. </w:t>
      </w:r>
    </w:p>
    <w:p w14:paraId="39EAC2E0" w14:textId="77777777" w:rsidR="00045FF9" w:rsidRPr="0053710B" w:rsidRDefault="00045FF9" w:rsidP="00045FF9">
      <w:pPr>
        <w:pStyle w:val="BodyText"/>
        <w:contextualSpacing/>
        <w:jc w:val="both"/>
        <w:rPr>
          <w:rFonts w:ascii="Times New Roman" w:hAnsi="Times New Roman" w:cs="Times New Roman"/>
          <w:b/>
          <w:bCs/>
          <w:sz w:val="22"/>
          <w:szCs w:val="22"/>
        </w:rPr>
      </w:pPr>
    </w:p>
    <w:tbl>
      <w:tblPr>
        <w:tblStyle w:val="TableGrid"/>
        <w:tblW w:w="9360" w:type="dxa"/>
        <w:tblInd w:w="108" w:type="dxa"/>
        <w:tblLook w:val="04A0" w:firstRow="1" w:lastRow="0" w:firstColumn="1" w:lastColumn="0" w:noHBand="0" w:noVBand="1"/>
      </w:tblPr>
      <w:tblGrid>
        <w:gridCol w:w="9360"/>
      </w:tblGrid>
      <w:tr w:rsidR="00045FF9" w:rsidRPr="0053710B" w14:paraId="67D8FB38" w14:textId="77777777" w:rsidTr="009E7712">
        <w:tc>
          <w:tcPr>
            <w:tcW w:w="9360" w:type="dxa"/>
          </w:tcPr>
          <w:p w14:paraId="7E42E85C" w14:textId="77777777" w:rsidR="00045FF9" w:rsidRPr="00F862D2" w:rsidRDefault="00045FF9" w:rsidP="009E7712">
            <w:pPr>
              <w:pStyle w:val="BodyText"/>
              <w:spacing w:before="6"/>
              <w:contextualSpacing/>
              <w:rPr>
                <w:rFonts w:ascii="Times New Roman" w:hAnsi="Times New Roman" w:cs="Times New Roman"/>
                <w:b/>
                <w:sz w:val="22"/>
                <w:szCs w:val="22"/>
              </w:rPr>
            </w:pPr>
            <w:bookmarkStart w:id="0" w:name="_Hlk68174472"/>
            <w:r>
              <w:rPr>
                <w:rFonts w:ascii="Times New Roman" w:hAnsi="Times New Roman"/>
                <w:b/>
                <w:sz w:val="22"/>
                <w:szCs w:val="22"/>
              </w:rPr>
              <w:t>Conformità alle politiche / Sanzioni per le violazioni</w:t>
            </w:r>
          </w:p>
        </w:tc>
      </w:tr>
      <w:bookmarkEnd w:id="0"/>
    </w:tbl>
    <w:p w14:paraId="0A2A7F78" w14:textId="77777777" w:rsidR="00045FF9" w:rsidRPr="0053710B" w:rsidRDefault="00045FF9" w:rsidP="00045FF9">
      <w:pPr>
        <w:pStyle w:val="BodyText"/>
        <w:spacing w:before="6"/>
        <w:contextualSpacing/>
        <w:rPr>
          <w:rFonts w:ascii="Times New Roman" w:hAnsi="Times New Roman" w:cs="Times New Roman"/>
          <w:bCs/>
          <w:sz w:val="22"/>
          <w:szCs w:val="22"/>
        </w:rPr>
      </w:pPr>
    </w:p>
    <w:p w14:paraId="1B68D631" w14:textId="5157F5B7" w:rsidR="00045FF9" w:rsidRPr="00F862D2" w:rsidRDefault="00045FF9" w:rsidP="00045FF9">
      <w:pPr>
        <w:pStyle w:val="BodyText"/>
        <w:spacing w:before="1"/>
        <w:contextualSpacing/>
        <w:jc w:val="both"/>
        <w:rPr>
          <w:rFonts w:ascii="Times New Roman" w:hAnsi="Times New Roman" w:cs="Times New Roman"/>
          <w:sz w:val="22"/>
          <w:szCs w:val="22"/>
        </w:rPr>
      </w:pPr>
      <w:r>
        <w:rPr>
          <w:rFonts w:ascii="Times New Roman" w:hAnsi="Times New Roman"/>
          <w:sz w:val="22"/>
          <w:szCs w:val="22"/>
        </w:rPr>
        <w:t xml:space="preserve">I dipendenti che violino questa Policy, o altre policy simili di altri datori di lavoro, possono incorrere in azioni disciplinari che potrebbero comportare anche il licenziamento. Inoltre, le violazioni di questa Policy possono comportare gravi conseguenze, anche penali. Qualsiasi dipendente che abbia dubbi o problemi di </w:t>
      </w:r>
      <w:r>
        <w:rPr>
          <w:rFonts w:ascii="Times New Roman" w:hAnsi="Times New Roman"/>
          <w:sz w:val="22"/>
          <w:szCs w:val="22"/>
        </w:rPr>
        <w:lastRenderedPageBreak/>
        <w:t>conformità a questa Policy è tenuto a contattare immediatamente il Team Legale e Gestione dei rischi prima di intraprendere qualsiasi altra azione. Il Team Legale e Gestione dei rischi valuterà la situazione e deciderà quali siano le azioni correttive da intraprendere, se del caso.</w:t>
      </w:r>
    </w:p>
    <w:p w14:paraId="1FEDE71A" w14:textId="77777777" w:rsidR="00045FF9" w:rsidRPr="00F862D2" w:rsidRDefault="00045FF9" w:rsidP="00045FF9">
      <w:pPr>
        <w:pStyle w:val="BodyText"/>
        <w:spacing w:before="1"/>
        <w:contextualSpacing/>
        <w:jc w:val="both"/>
        <w:rPr>
          <w:rFonts w:ascii="Times New Roman" w:hAnsi="Times New Roman" w:cs="Times New Roman"/>
          <w:sz w:val="22"/>
          <w:szCs w:val="22"/>
        </w:rPr>
      </w:pPr>
    </w:p>
    <w:p w14:paraId="04C786FF" w14:textId="766B136A" w:rsidR="00045FF9" w:rsidRPr="00F862D2" w:rsidRDefault="00045FF9" w:rsidP="00045FF9">
      <w:pPr>
        <w:jc w:val="both"/>
        <w:rPr>
          <w:rFonts w:ascii="Times New Roman" w:hAnsi="Times New Roman" w:cs="Times New Roman"/>
          <w:i/>
        </w:rPr>
      </w:pPr>
      <w:r>
        <w:rPr>
          <w:rFonts w:ascii="Times New Roman" w:hAnsi="Times New Roman"/>
        </w:rPr>
        <w:t xml:space="preserve">Non saranno consentite deviazioni da questa Policy senza l'espressa e previa autorizzazione scritta del </w:t>
      </w:r>
      <w:bookmarkStart w:id="1" w:name="_Hlk96700489"/>
      <w:r>
        <w:rPr>
          <w:rFonts w:ascii="Times New Roman" w:hAnsi="Times New Roman"/>
        </w:rPr>
        <w:t>Consulente legale generale di Spectrum Brands</w:t>
      </w:r>
      <w:bookmarkEnd w:id="1"/>
      <w:r>
        <w:rPr>
          <w:rFonts w:ascii="Times New Roman" w:hAnsi="Times New Roman"/>
        </w:rPr>
        <w:t xml:space="preserve"> o di un suo incaricato. </w:t>
      </w:r>
    </w:p>
    <w:p w14:paraId="7592A11A" w14:textId="77777777" w:rsidR="00045FF9" w:rsidRPr="003A60D7" w:rsidRDefault="00045FF9" w:rsidP="00045FF9">
      <w:pPr>
        <w:pStyle w:val="BodyText"/>
        <w:spacing w:before="1"/>
        <w:contextualSpacing/>
        <w:jc w:val="both"/>
        <w:rPr>
          <w:rFonts w:ascii="Times New Roman" w:hAnsi="Times New Roman" w:cs="Times New Roman"/>
          <w:sz w:val="22"/>
          <w:szCs w:val="22"/>
        </w:rPr>
      </w:pPr>
    </w:p>
    <w:p w14:paraId="153B52B1" w14:textId="77777777" w:rsidR="00045FF9" w:rsidRPr="003A60D7" w:rsidRDefault="00045FF9" w:rsidP="00045FF9">
      <w:pPr>
        <w:pStyle w:val="BodyText"/>
        <w:contextualSpacing/>
        <w:rPr>
          <w:rFonts w:ascii="Times New Roman" w:hAnsi="Times New Roman" w:cs="Times New Roman"/>
          <w:sz w:val="22"/>
          <w:szCs w:val="22"/>
        </w:rPr>
      </w:pPr>
    </w:p>
    <w:tbl>
      <w:tblPr>
        <w:tblStyle w:val="TableGrid"/>
        <w:tblW w:w="9360" w:type="dxa"/>
        <w:tblInd w:w="108" w:type="dxa"/>
        <w:tblLook w:val="04A0" w:firstRow="1" w:lastRow="0" w:firstColumn="1" w:lastColumn="0" w:noHBand="0" w:noVBand="1"/>
      </w:tblPr>
      <w:tblGrid>
        <w:gridCol w:w="9360"/>
      </w:tblGrid>
      <w:tr w:rsidR="00045FF9" w:rsidRPr="003A60D7" w14:paraId="7093343D" w14:textId="77777777" w:rsidTr="009E7712">
        <w:tc>
          <w:tcPr>
            <w:tcW w:w="9360" w:type="dxa"/>
          </w:tcPr>
          <w:p w14:paraId="1FE007AD" w14:textId="77777777" w:rsidR="00045FF9" w:rsidRPr="003A60D7" w:rsidRDefault="00045FF9" w:rsidP="009E7712">
            <w:pPr>
              <w:pStyle w:val="BodyText"/>
              <w:contextualSpacing/>
              <w:rPr>
                <w:rFonts w:ascii="Times New Roman" w:hAnsi="Times New Roman" w:cs="Times New Roman"/>
                <w:b/>
                <w:bCs/>
                <w:sz w:val="22"/>
                <w:szCs w:val="22"/>
              </w:rPr>
            </w:pPr>
            <w:r>
              <w:rPr>
                <w:rFonts w:ascii="Times New Roman" w:hAnsi="Times New Roman"/>
                <w:b/>
                <w:bCs/>
                <w:sz w:val="22"/>
                <w:szCs w:val="22"/>
              </w:rPr>
              <w:t>Contatti:</w:t>
            </w:r>
          </w:p>
        </w:tc>
      </w:tr>
    </w:tbl>
    <w:p w14:paraId="5A47F16F" w14:textId="77777777" w:rsidR="00045FF9" w:rsidRPr="003A60D7" w:rsidRDefault="00045FF9" w:rsidP="00045FF9">
      <w:pPr>
        <w:pStyle w:val="BodyText"/>
        <w:contextualSpacing/>
        <w:rPr>
          <w:rFonts w:ascii="Times New Roman" w:hAnsi="Times New Roman" w:cs="Times New Roman"/>
          <w:sz w:val="22"/>
          <w:szCs w:val="22"/>
        </w:rPr>
      </w:pPr>
    </w:p>
    <w:p w14:paraId="1506111C" w14:textId="77777777" w:rsidR="00045FF9" w:rsidRPr="003A60D7" w:rsidRDefault="00045FF9" w:rsidP="00045FF9">
      <w:pPr>
        <w:pStyle w:val="Heading1"/>
        <w:spacing w:before="42" w:after="11"/>
        <w:ind w:left="0"/>
        <w:contextualSpacing/>
        <w:rPr>
          <w:rFonts w:ascii="Times New Roman" w:hAnsi="Times New Roman" w:cs="Times New Roman"/>
          <w:sz w:val="22"/>
          <w:szCs w:val="22"/>
        </w:rPr>
      </w:pPr>
      <w:r>
        <w:rPr>
          <w:rFonts w:ascii="Times New Roman" w:hAnsi="Times New Roman"/>
          <w:sz w:val="22"/>
          <w:szCs w:val="22"/>
        </w:rPr>
        <w:t>Contatti:</w:t>
      </w:r>
    </w:p>
    <w:p w14:paraId="24CB1439" w14:textId="77777777" w:rsidR="00045FF9" w:rsidRPr="003A60D7" w:rsidRDefault="00045FF9" w:rsidP="00045FF9">
      <w:pPr>
        <w:pStyle w:val="BodyText"/>
        <w:contextualSpacing/>
        <w:rPr>
          <w:rFonts w:ascii="Times New Roman" w:hAnsi="Times New Roman" w:cs="Times New Roman"/>
          <w:bCs/>
          <w:sz w:val="22"/>
          <w:szCs w:val="22"/>
        </w:rPr>
      </w:pPr>
      <w:r>
        <w:rPr>
          <w:rFonts w:ascii="Times New Roman" w:hAnsi="Times New Roman"/>
          <w:bCs/>
          <w:sz w:val="22"/>
          <w:szCs w:val="22"/>
        </w:rPr>
        <w:t>Spectrum Brands, Inc.</w:t>
      </w:r>
    </w:p>
    <w:p w14:paraId="1DD39943" w14:textId="77777777" w:rsidR="00045FF9" w:rsidRPr="003A60D7" w:rsidRDefault="00045FF9" w:rsidP="00045FF9">
      <w:pPr>
        <w:pStyle w:val="BodyText"/>
        <w:contextualSpacing/>
        <w:rPr>
          <w:rFonts w:ascii="Times New Roman" w:hAnsi="Times New Roman" w:cs="Times New Roman"/>
          <w:bCs/>
          <w:sz w:val="22"/>
          <w:szCs w:val="22"/>
        </w:rPr>
      </w:pPr>
      <w:r>
        <w:rPr>
          <w:rFonts w:ascii="Times New Roman" w:hAnsi="Times New Roman"/>
          <w:bCs/>
          <w:sz w:val="22"/>
          <w:szCs w:val="22"/>
        </w:rPr>
        <w:t>c.a.: General Counsel</w:t>
      </w:r>
    </w:p>
    <w:p w14:paraId="59AB6EEA" w14:textId="77777777" w:rsidR="00045FF9" w:rsidRPr="003A60D7" w:rsidRDefault="00045FF9" w:rsidP="00045FF9">
      <w:pPr>
        <w:pStyle w:val="BodyText"/>
        <w:contextualSpacing/>
        <w:rPr>
          <w:rFonts w:ascii="Times New Roman" w:hAnsi="Times New Roman" w:cs="Times New Roman"/>
          <w:bCs/>
          <w:sz w:val="22"/>
          <w:szCs w:val="22"/>
        </w:rPr>
      </w:pPr>
      <w:r>
        <w:rPr>
          <w:rFonts w:ascii="Times New Roman" w:hAnsi="Times New Roman"/>
          <w:bCs/>
          <w:sz w:val="22"/>
          <w:szCs w:val="22"/>
        </w:rPr>
        <w:t>3001 Deming Way</w:t>
      </w:r>
    </w:p>
    <w:p w14:paraId="20CADD1A" w14:textId="77777777" w:rsidR="00045FF9" w:rsidRPr="003A60D7" w:rsidRDefault="00045FF9" w:rsidP="00045FF9">
      <w:pPr>
        <w:pStyle w:val="BodyText"/>
        <w:contextualSpacing/>
        <w:rPr>
          <w:rFonts w:ascii="Times New Roman" w:hAnsi="Times New Roman" w:cs="Times New Roman"/>
          <w:bCs/>
          <w:sz w:val="22"/>
          <w:szCs w:val="22"/>
        </w:rPr>
      </w:pPr>
      <w:r>
        <w:rPr>
          <w:rFonts w:ascii="Times New Roman" w:hAnsi="Times New Roman"/>
          <w:bCs/>
          <w:sz w:val="22"/>
          <w:szCs w:val="22"/>
        </w:rPr>
        <w:t>Middleton, WI 53562</w:t>
      </w:r>
    </w:p>
    <w:p w14:paraId="2190FCF9" w14:textId="77777777" w:rsidR="00045FF9" w:rsidRPr="003A60D7" w:rsidRDefault="00045FF9" w:rsidP="00045FF9">
      <w:pPr>
        <w:pStyle w:val="BodyText"/>
        <w:contextualSpacing/>
        <w:rPr>
          <w:rFonts w:ascii="Times New Roman" w:hAnsi="Times New Roman" w:cs="Times New Roman"/>
          <w:bCs/>
          <w:sz w:val="22"/>
          <w:szCs w:val="22"/>
        </w:rPr>
      </w:pPr>
    </w:p>
    <w:tbl>
      <w:tblPr>
        <w:tblStyle w:val="TableGrid"/>
        <w:tblW w:w="9360" w:type="dxa"/>
        <w:tblInd w:w="108" w:type="dxa"/>
        <w:tblLook w:val="04A0" w:firstRow="1" w:lastRow="0" w:firstColumn="1" w:lastColumn="0" w:noHBand="0" w:noVBand="1"/>
      </w:tblPr>
      <w:tblGrid>
        <w:gridCol w:w="9360"/>
      </w:tblGrid>
      <w:tr w:rsidR="00045FF9" w:rsidRPr="003A60D7" w14:paraId="53C07DB3" w14:textId="77777777" w:rsidTr="009E7712">
        <w:tc>
          <w:tcPr>
            <w:tcW w:w="9360" w:type="dxa"/>
          </w:tcPr>
          <w:p w14:paraId="52459DB8" w14:textId="77777777" w:rsidR="00045FF9" w:rsidRPr="003A60D7" w:rsidRDefault="00045FF9" w:rsidP="009E7712">
            <w:pPr>
              <w:pStyle w:val="BodyText"/>
              <w:spacing w:before="4"/>
              <w:contextualSpacing/>
              <w:rPr>
                <w:rFonts w:ascii="Times New Roman" w:hAnsi="Times New Roman" w:cs="Times New Roman"/>
                <w:b/>
                <w:sz w:val="22"/>
                <w:szCs w:val="22"/>
              </w:rPr>
            </w:pPr>
            <w:r>
              <w:rPr>
                <w:rFonts w:ascii="Times New Roman" w:hAnsi="Times New Roman"/>
                <w:b/>
                <w:sz w:val="22"/>
                <w:szCs w:val="22"/>
              </w:rPr>
              <w:t>Informazioni correlate</w:t>
            </w:r>
          </w:p>
        </w:tc>
      </w:tr>
    </w:tbl>
    <w:p w14:paraId="1AA31E69" w14:textId="77777777" w:rsidR="00045FF9" w:rsidRPr="00883412" w:rsidRDefault="00045FF9" w:rsidP="00045FF9">
      <w:pPr>
        <w:spacing w:before="226"/>
        <w:contextualSpacing/>
        <w:rPr>
          <w:rFonts w:ascii="Times New Roman" w:hAnsi="Times New Roman" w:cs="Times New Roman"/>
          <w:bCs/>
          <w:w w:val="105"/>
        </w:rPr>
      </w:pPr>
    </w:p>
    <w:p w14:paraId="7ED26893" w14:textId="77777777" w:rsidR="00045FF9" w:rsidRPr="003A60D7" w:rsidRDefault="00045FF9" w:rsidP="00045FF9">
      <w:pPr>
        <w:spacing w:before="226"/>
        <w:contextualSpacing/>
        <w:rPr>
          <w:rFonts w:ascii="Times New Roman" w:hAnsi="Times New Roman" w:cs="Times New Roman"/>
          <w:b/>
        </w:rPr>
      </w:pPr>
      <w:r>
        <w:rPr>
          <w:rFonts w:ascii="Times New Roman" w:hAnsi="Times New Roman"/>
          <w:b/>
        </w:rPr>
        <w:t>Documentazione Spectrum Brands:</w:t>
      </w:r>
    </w:p>
    <w:p w14:paraId="6902C5B6" w14:textId="77777777" w:rsidR="00045FF9" w:rsidRDefault="00045FF9" w:rsidP="00045FF9">
      <w:pPr>
        <w:pStyle w:val="PolicyInfotext"/>
        <w:rPr>
          <w:sz w:val="24"/>
          <w:szCs w:val="24"/>
        </w:rPr>
      </w:pPr>
      <w:r>
        <w:rPr>
          <w:sz w:val="24"/>
          <w:szCs w:val="24"/>
        </w:rPr>
        <w:t xml:space="preserve">Codice di condotta ed etica aziendale </w:t>
      </w:r>
    </w:p>
    <w:p w14:paraId="2A67D021" w14:textId="77777777" w:rsidR="00045FF9" w:rsidRPr="00342B45" w:rsidRDefault="00045FF9" w:rsidP="00045FF9">
      <w:pPr>
        <w:pStyle w:val="PolicyInfotext"/>
        <w:rPr>
          <w:sz w:val="24"/>
          <w:szCs w:val="24"/>
        </w:rPr>
      </w:pPr>
      <w:r>
        <w:rPr>
          <w:sz w:val="24"/>
          <w:szCs w:val="24"/>
        </w:rPr>
        <w:t xml:space="preserve">Codice di condotta per i fornitori </w:t>
      </w:r>
    </w:p>
    <w:p w14:paraId="6BA842E0" w14:textId="77777777" w:rsidR="00045FF9" w:rsidRPr="003A60D7" w:rsidRDefault="00045FF9" w:rsidP="00045FF9">
      <w:pPr>
        <w:spacing w:before="99"/>
        <w:contextualSpacing/>
        <w:rPr>
          <w:rFonts w:ascii="Times New Roman" w:hAnsi="Times New Roman" w:cs="Times New Roman"/>
          <w:b/>
        </w:rPr>
      </w:pPr>
      <w:r>
        <w:rPr>
          <w:rFonts w:ascii="Times New Roman" w:hAnsi="Times New Roman"/>
          <w:b/>
        </w:rPr>
        <w:t>Altri documenti:</w:t>
      </w:r>
    </w:p>
    <w:p w14:paraId="311A70C1" w14:textId="77777777" w:rsidR="00045FF9" w:rsidRPr="003A60D7" w:rsidRDefault="00045FF9" w:rsidP="00045FF9">
      <w:pPr>
        <w:spacing w:before="13"/>
        <w:contextualSpacing/>
        <w:rPr>
          <w:rFonts w:ascii="Times New Roman" w:hAnsi="Times New Roman" w:cs="Times New Roman"/>
        </w:rPr>
      </w:pPr>
      <w:r>
        <w:rPr>
          <w:rFonts w:ascii="Times New Roman" w:hAnsi="Times New Roman"/>
        </w:rPr>
        <w:t>nessuno</w:t>
      </w:r>
    </w:p>
    <w:p w14:paraId="5E646CCF" w14:textId="77777777" w:rsidR="00045FF9" w:rsidRPr="003A60D7" w:rsidRDefault="00045FF9" w:rsidP="00045FF9">
      <w:pPr>
        <w:spacing w:before="100"/>
        <w:contextualSpacing/>
        <w:rPr>
          <w:rFonts w:ascii="Times New Roman" w:hAnsi="Times New Roman" w:cs="Times New Roman"/>
          <w:b/>
        </w:rPr>
      </w:pPr>
      <w:r>
        <w:rPr>
          <w:rFonts w:ascii="Times New Roman" w:hAnsi="Times New Roman"/>
          <w:b/>
        </w:rPr>
        <w:t>Link correlati:</w:t>
      </w:r>
    </w:p>
    <w:p w14:paraId="4DAF3317" w14:textId="77777777" w:rsidR="00045FF9" w:rsidRPr="003A60D7" w:rsidRDefault="00045FF9" w:rsidP="00045FF9">
      <w:pPr>
        <w:spacing w:before="13"/>
        <w:contextualSpacing/>
        <w:rPr>
          <w:rFonts w:ascii="Times New Roman" w:hAnsi="Times New Roman" w:cs="Times New Roman"/>
          <w:w w:val="110"/>
        </w:rPr>
      </w:pPr>
      <w:r>
        <w:rPr>
          <w:rFonts w:ascii="Times New Roman" w:hAnsi="Times New Roman"/>
        </w:rPr>
        <w:t>nessuno</w:t>
      </w:r>
    </w:p>
    <w:p w14:paraId="5547D6CA" w14:textId="77777777" w:rsidR="00045FF9" w:rsidRPr="003A60D7" w:rsidRDefault="00045FF9" w:rsidP="00045FF9">
      <w:pPr>
        <w:spacing w:before="13"/>
        <w:contextualSpacing/>
        <w:rPr>
          <w:rFonts w:ascii="Times New Roman" w:hAnsi="Times New Roman" w:cs="Times New Roman"/>
          <w:w w:val="110"/>
        </w:rPr>
      </w:pPr>
    </w:p>
    <w:tbl>
      <w:tblPr>
        <w:tblStyle w:val="TableGrid"/>
        <w:tblW w:w="9360" w:type="dxa"/>
        <w:tblInd w:w="108" w:type="dxa"/>
        <w:tblLook w:val="04A0" w:firstRow="1" w:lastRow="0" w:firstColumn="1" w:lastColumn="0" w:noHBand="0" w:noVBand="1"/>
      </w:tblPr>
      <w:tblGrid>
        <w:gridCol w:w="9360"/>
      </w:tblGrid>
      <w:tr w:rsidR="00045FF9" w:rsidRPr="003A60D7" w14:paraId="0BA723E3" w14:textId="77777777" w:rsidTr="009E7712">
        <w:tc>
          <w:tcPr>
            <w:tcW w:w="9360" w:type="dxa"/>
          </w:tcPr>
          <w:p w14:paraId="4007F0A1" w14:textId="77777777" w:rsidR="00045FF9" w:rsidRPr="003A60D7" w:rsidRDefault="00045FF9" w:rsidP="009E7712">
            <w:pPr>
              <w:spacing w:before="13"/>
              <w:contextualSpacing/>
              <w:rPr>
                <w:rFonts w:ascii="Times New Roman" w:hAnsi="Times New Roman" w:cs="Times New Roman"/>
                <w:b/>
                <w:bCs/>
                <w:w w:val="110"/>
              </w:rPr>
            </w:pPr>
            <w:r>
              <w:rPr>
                <w:rFonts w:ascii="Times New Roman" w:hAnsi="Times New Roman"/>
                <w:b/>
                <w:bCs/>
              </w:rPr>
              <w:t>Cronologia delle revisioni</w:t>
            </w:r>
          </w:p>
        </w:tc>
      </w:tr>
    </w:tbl>
    <w:p w14:paraId="26187550" w14:textId="77777777" w:rsidR="00045FF9" w:rsidRPr="003A60D7" w:rsidRDefault="00045FF9" w:rsidP="00045FF9">
      <w:pPr>
        <w:spacing w:before="13"/>
        <w:contextualSpacing/>
        <w:rPr>
          <w:rFonts w:ascii="Times New Roman" w:hAnsi="Times New Roman" w:cs="Times New Roman"/>
          <w:w w:val="105"/>
        </w:rPr>
      </w:pPr>
    </w:p>
    <w:p w14:paraId="13593A3C" w14:textId="4B8B22DC" w:rsidR="00045FF9" w:rsidRPr="003A60D7" w:rsidRDefault="00DA0B59" w:rsidP="00045FF9">
      <w:pPr>
        <w:tabs>
          <w:tab w:val="left" w:pos="2332"/>
        </w:tabs>
        <w:spacing w:before="103"/>
        <w:contextualSpacing/>
        <w:rPr>
          <w:rFonts w:ascii="Times New Roman" w:hAnsi="Times New Roman" w:cs="Times New Roman"/>
          <w:w w:val="105"/>
        </w:rPr>
      </w:pPr>
      <w:r>
        <w:rPr>
          <w:rFonts w:ascii="Times New Roman" w:hAnsi="Times New Roman"/>
          <w:b/>
        </w:rPr>
        <w:t>Agosto 2022</w:t>
      </w:r>
      <w:r>
        <w:rPr>
          <w:rFonts w:ascii="Times New Roman" w:hAnsi="Times New Roman"/>
        </w:rPr>
        <w:tab/>
        <w:t>Creazione di una policy per la revisione e l'approvazione.</w:t>
      </w:r>
    </w:p>
    <w:p w14:paraId="30F15AD1" w14:textId="77777777" w:rsidR="00045FF9" w:rsidRPr="00883412" w:rsidRDefault="00045FF9" w:rsidP="00045FF9">
      <w:pPr>
        <w:pStyle w:val="BodyText"/>
        <w:tabs>
          <w:tab w:val="left" w:pos="2340"/>
        </w:tabs>
        <w:contextualSpacing/>
        <w:rPr>
          <w:rFonts w:ascii="Times New Roman" w:hAnsi="Times New Roman" w:cs="Times New Roman"/>
          <w:bCs/>
          <w:sz w:val="22"/>
          <w:szCs w:val="22"/>
        </w:rPr>
      </w:pPr>
    </w:p>
    <w:tbl>
      <w:tblPr>
        <w:tblStyle w:val="TableGrid"/>
        <w:tblW w:w="0" w:type="auto"/>
        <w:tblInd w:w="108" w:type="dxa"/>
        <w:tblLook w:val="04A0" w:firstRow="1" w:lastRow="0" w:firstColumn="1" w:lastColumn="0" w:noHBand="0" w:noVBand="1"/>
      </w:tblPr>
      <w:tblGrid>
        <w:gridCol w:w="9242"/>
      </w:tblGrid>
      <w:tr w:rsidR="00045FF9" w:rsidRPr="003A60D7" w14:paraId="4B72894C" w14:textId="77777777" w:rsidTr="009E7712">
        <w:tc>
          <w:tcPr>
            <w:tcW w:w="9360" w:type="dxa"/>
          </w:tcPr>
          <w:p w14:paraId="3635DD2B" w14:textId="77777777" w:rsidR="00045FF9" w:rsidRPr="003A60D7" w:rsidRDefault="00045FF9" w:rsidP="009E7712">
            <w:pPr>
              <w:pStyle w:val="BodyText"/>
              <w:spacing w:before="6"/>
              <w:contextualSpacing/>
              <w:rPr>
                <w:rFonts w:ascii="Times New Roman" w:hAnsi="Times New Roman" w:cs="Times New Roman"/>
                <w:bCs/>
                <w:sz w:val="22"/>
                <w:szCs w:val="22"/>
              </w:rPr>
            </w:pPr>
            <w:r>
              <w:rPr>
                <w:rFonts w:ascii="Times New Roman" w:hAnsi="Times New Roman"/>
                <w:b/>
                <w:sz w:val="22"/>
                <w:szCs w:val="22"/>
              </w:rPr>
              <w:t>Dirigente responsabile</w:t>
            </w:r>
          </w:p>
        </w:tc>
      </w:tr>
    </w:tbl>
    <w:p w14:paraId="0409F7D0" w14:textId="77777777" w:rsidR="00045FF9" w:rsidRPr="003A60D7" w:rsidRDefault="00045FF9" w:rsidP="00045FF9">
      <w:pPr>
        <w:pStyle w:val="BodyText"/>
        <w:spacing w:before="6"/>
        <w:contextualSpacing/>
        <w:rPr>
          <w:rFonts w:ascii="Times New Roman" w:hAnsi="Times New Roman" w:cs="Times New Roman"/>
          <w:bCs/>
          <w:sz w:val="22"/>
          <w:szCs w:val="22"/>
        </w:rPr>
      </w:pPr>
    </w:p>
    <w:p w14:paraId="4D3DA3B1" w14:textId="77777777" w:rsidR="00045FF9" w:rsidRPr="003A60D7" w:rsidRDefault="00045FF9" w:rsidP="00045FF9">
      <w:pPr>
        <w:pStyle w:val="BodyText"/>
        <w:spacing w:before="6"/>
        <w:contextualSpacing/>
        <w:rPr>
          <w:rFonts w:ascii="Times New Roman" w:hAnsi="Times New Roman" w:cs="Times New Roman"/>
          <w:bCs/>
          <w:sz w:val="22"/>
          <w:szCs w:val="22"/>
        </w:rPr>
      </w:pPr>
    </w:p>
    <w:p w14:paraId="50BDA30D" w14:textId="3672BD88" w:rsidR="00045FF9" w:rsidRPr="003A60D7" w:rsidRDefault="004D6945" w:rsidP="00045FF9">
      <w:pPr>
        <w:pStyle w:val="BodyText"/>
        <w:spacing w:before="6"/>
        <w:contextualSpacing/>
        <w:rPr>
          <w:rFonts w:ascii="Times New Roman" w:hAnsi="Times New Roman" w:cs="Times New Roman"/>
          <w:bCs/>
          <w:sz w:val="22"/>
          <w:szCs w:val="22"/>
        </w:rPr>
      </w:pPr>
      <w:r>
        <w:rPr>
          <w:noProof/>
        </w:rPr>
        <w:drawing>
          <wp:inline distT="0" distB="0" distL="0" distR="0" wp14:anchorId="6ADDE36B" wp14:editId="5D6A77FB">
            <wp:extent cx="1819275" cy="638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819275" cy="638175"/>
                    </a:xfrm>
                    <a:prstGeom prst="rect">
                      <a:avLst/>
                    </a:prstGeom>
                    <a:noFill/>
                    <a:ln>
                      <a:noFill/>
                    </a:ln>
                  </pic:spPr>
                </pic:pic>
              </a:graphicData>
            </a:graphic>
          </wp:inline>
        </w:drawing>
      </w:r>
    </w:p>
    <w:p w14:paraId="16251D31" w14:textId="77777777" w:rsidR="00045FF9" w:rsidRPr="003A60D7" w:rsidRDefault="00045FF9" w:rsidP="00045FF9">
      <w:pPr>
        <w:pStyle w:val="BodyText"/>
        <w:spacing w:before="5"/>
        <w:contextualSpacing/>
        <w:rPr>
          <w:rFonts w:ascii="Times New Roman" w:hAnsi="Times New Roman" w:cs="Times New Roman"/>
          <w:b/>
          <w:sz w:val="22"/>
          <w:szCs w:val="22"/>
          <w:u w:val="single"/>
        </w:rPr>
      </w:pP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p>
    <w:p w14:paraId="28DD90C2" w14:textId="77777777" w:rsidR="00045FF9" w:rsidRPr="003A60D7" w:rsidRDefault="00045FF9" w:rsidP="00045FF9">
      <w:pPr>
        <w:pStyle w:val="BodyText"/>
        <w:spacing w:before="5"/>
        <w:contextualSpacing/>
        <w:rPr>
          <w:rFonts w:ascii="Times New Roman" w:hAnsi="Times New Roman" w:cs="Times New Roman"/>
          <w:bCs/>
          <w:sz w:val="22"/>
          <w:szCs w:val="22"/>
        </w:rPr>
      </w:pPr>
      <w:r>
        <w:rPr>
          <w:rFonts w:ascii="Times New Roman" w:hAnsi="Times New Roman"/>
          <w:bCs/>
          <w:sz w:val="22"/>
          <w:szCs w:val="22"/>
        </w:rPr>
        <w:t>Ehsan Zargar</w:t>
      </w:r>
    </w:p>
    <w:p w14:paraId="57071F8B" w14:textId="77777777" w:rsidR="00045FF9" w:rsidRPr="003A60D7" w:rsidRDefault="00045FF9" w:rsidP="00045FF9">
      <w:pPr>
        <w:pStyle w:val="BodyText"/>
        <w:spacing w:before="5"/>
        <w:contextualSpacing/>
        <w:rPr>
          <w:rFonts w:ascii="Times New Roman" w:hAnsi="Times New Roman" w:cs="Times New Roman"/>
          <w:bCs/>
          <w:sz w:val="22"/>
          <w:szCs w:val="22"/>
        </w:rPr>
      </w:pPr>
      <w:r>
        <w:rPr>
          <w:rFonts w:ascii="Times New Roman" w:hAnsi="Times New Roman"/>
          <w:bCs/>
          <w:sz w:val="22"/>
          <w:szCs w:val="22"/>
        </w:rPr>
        <w:t>Vicepresidente esecutivo, Consulente legale generale e Segretario della Società</w:t>
      </w:r>
    </w:p>
    <w:p w14:paraId="2B071756" w14:textId="77777777" w:rsidR="001D00FE" w:rsidRDefault="001D00FE"/>
    <w:sectPr w:rsidR="001D00FE" w:rsidSect="003B5E8F">
      <w:headerReference w:type="default" r:id="rId12"/>
      <w:footerReference w:type="default" r:id="rId13"/>
      <w:pgSz w:w="12240" w:h="15840"/>
      <w:pgMar w:top="1440" w:right="1440" w:bottom="1440" w:left="1440" w:header="0" w:footer="57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26163" w14:textId="77777777" w:rsidR="00947E7E" w:rsidRDefault="00947E7E">
      <w:r>
        <w:separator/>
      </w:r>
    </w:p>
  </w:endnote>
  <w:endnote w:type="continuationSeparator" w:id="0">
    <w:p w14:paraId="4EFDA05A" w14:textId="77777777" w:rsidR="00947E7E" w:rsidRDefault="00947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0616832"/>
      <w:docPartObj>
        <w:docPartGallery w:val="Page Numbers (Bottom of Page)"/>
        <w:docPartUnique/>
      </w:docPartObj>
    </w:sdtPr>
    <w:sdtEndPr>
      <w:rPr>
        <w:noProof/>
      </w:rPr>
    </w:sdtEndPr>
    <w:sdtContent>
      <w:p w14:paraId="64301770" w14:textId="77777777" w:rsidR="003B5E8F" w:rsidRDefault="005B496A">
        <w:pPr>
          <w:pStyle w:val="Footer"/>
          <w:jc w:val="center"/>
        </w:pPr>
        <w:r>
          <w:fldChar w:fldCharType="begin"/>
        </w:r>
        <w:r>
          <w:instrText xml:space="preserve"> PAGE   \* MERGEFORMAT </w:instrText>
        </w:r>
        <w:r>
          <w:fldChar w:fldCharType="separate"/>
        </w:r>
        <w:r>
          <w:t>2</w:t>
        </w:r>
        <w:r>
          <w:fldChar w:fldCharType="end"/>
        </w:r>
      </w:p>
    </w:sdtContent>
  </w:sdt>
  <w:p w14:paraId="24000A0B" w14:textId="77777777" w:rsidR="00FE1ABD" w:rsidRDefault="004D6945">
    <w:pPr>
      <w:pStyle w:val="BodyText"/>
      <w:spacing w:line="14" w:lineRule="auto"/>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8926D" w14:textId="77777777" w:rsidR="00947E7E" w:rsidRDefault="00947E7E">
      <w:r>
        <w:separator/>
      </w:r>
    </w:p>
  </w:footnote>
  <w:footnote w:type="continuationSeparator" w:id="0">
    <w:p w14:paraId="49F4CDEC" w14:textId="77777777" w:rsidR="00947E7E" w:rsidRDefault="00947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92CC8" w14:textId="77777777" w:rsidR="00FE1ABD" w:rsidRDefault="004D6945">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D065FB"/>
    <w:multiLevelType w:val="multilevel"/>
    <w:tmpl w:val="4590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3E73D2"/>
    <w:multiLevelType w:val="hybridMultilevel"/>
    <w:tmpl w:val="37786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2C4886"/>
    <w:multiLevelType w:val="hybridMultilevel"/>
    <w:tmpl w:val="602615BE"/>
    <w:lvl w:ilvl="0" w:tplc="D220B762">
      <w:start w:val="1"/>
      <w:numFmt w:val="upperRoman"/>
      <w:lvlText w:val="%1."/>
      <w:lvlJc w:val="left"/>
      <w:pPr>
        <w:ind w:left="860" w:hanging="720"/>
      </w:pPr>
      <w:rPr>
        <w:rFonts w:ascii="Garamond" w:eastAsia="Garamond" w:hAnsi="Garamond" w:cs="Garamond" w:hint="default"/>
        <w:b/>
        <w:bCs/>
        <w:spacing w:val="-1"/>
        <w:w w:val="100"/>
        <w:sz w:val="24"/>
        <w:szCs w:val="24"/>
      </w:rPr>
    </w:lvl>
    <w:lvl w:ilvl="1" w:tplc="04090015">
      <w:start w:val="1"/>
      <w:numFmt w:val="upperLetter"/>
      <w:lvlText w:val="%2."/>
      <w:lvlJc w:val="left"/>
      <w:pPr>
        <w:ind w:left="860" w:hanging="360"/>
      </w:pPr>
      <w:rPr>
        <w:rFonts w:hint="default"/>
        <w:w w:val="100"/>
        <w:sz w:val="24"/>
        <w:szCs w:val="24"/>
      </w:rPr>
    </w:lvl>
    <w:lvl w:ilvl="2" w:tplc="3530E2EC">
      <w:numFmt w:val="bullet"/>
      <w:lvlText w:val="•"/>
      <w:lvlJc w:val="left"/>
      <w:pPr>
        <w:ind w:left="2640" w:hanging="360"/>
      </w:pPr>
      <w:rPr>
        <w:rFonts w:hint="default"/>
      </w:rPr>
    </w:lvl>
    <w:lvl w:ilvl="3" w:tplc="0754868A">
      <w:numFmt w:val="bullet"/>
      <w:lvlText w:val="•"/>
      <w:lvlJc w:val="left"/>
      <w:pPr>
        <w:ind w:left="3530" w:hanging="360"/>
      </w:pPr>
      <w:rPr>
        <w:rFonts w:hint="default"/>
      </w:rPr>
    </w:lvl>
    <w:lvl w:ilvl="4" w:tplc="CE2A9F38">
      <w:numFmt w:val="bullet"/>
      <w:lvlText w:val="•"/>
      <w:lvlJc w:val="left"/>
      <w:pPr>
        <w:ind w:left="4420" w:hanging="360"/>
      </w:pPr>
      <w:rPr>
        <w:rFonts w:hint="default"/>
      </w:rPr>
    </w:lvl>
    <w:lvl w:ilvl="5" w:tplc="D160D686">
      <w:numFmt w:val="bullet"/>
      <w:lvlText w:val="•"/>
      <w:lvlJc w:val="left"/>
      <w:pPr>
        <w:ind w:left="5310" w:hanging="360"/>
      </w:pPr>
      <w:rPr>
        <w:rFonts w:hint="default"/>
      </w:rPr>
    </w:lvl>
    <w:lvl w:ilvl="6" w:tplc="5F92F242">
      <w:numFmt w:val="bullet"/>
      <w:lvlText w:val="•"/>
      <w:lvlJc w:val="left"/>
      <w:pPr>
        <w:ind w:left="6200" w:hanging="360"/>
      </w:pPr>
      <w:rPr>
        <w:rFonts w:hint="default"/>
      </w:rPr>
    </w:lvl>
    <w:lvl w:ilvl="7" w:tplc="8482031E">
      <w:numFmt w:val="bullet"/>
      <w:lvlText w:val="•"/>
      <w:lvlJc w:val="left"/>
      <w:pPr>
        <w:ind w:left="7090" w:hanging="360"/>
      </w:pPr>
      <w:rPr>
        <w:rFonts w:hint="default"/>
      </w:rPr>
    </w:lvl>
    <w:lvl w:ilvl="8" w:tplc="F1B43E34">
      <w:numFmt w:val="bullet"/>
      <w:lvlText w:val="•"/>
      <w:lvlJc w:val="left"/>
      <w:pPr>
        <w:ind w:left="7980" w:hanging="360"/>
      </w:pPr>
      <w:rPr>
        <w:rFonts w:hint="default"/>
      </w:rPr>
    </w:lvl>
  </w:abstractNum>
  <w:abstractNum w:abstractNumId="3" w15:restartNumberingAfterBreak="0">
    <w:nsid w:val="5D344B65"/>
    <w:multiLevelType w:val="multilevel"/>
    <w:tmpl w:val="5A7013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FF9"/>
    <w:rsid w:val="0000542E"/>
    <w:rsid w:val="00026666"/>
    <w:rsid w:val="00045FF9"/>
    <w:rsid w:val="00061B30"/>
    <w:rsid w:val="00071E46"/>
    <w:rsid w:val="0007294D"/>
    <w:rsid w:val="000871CB"/>
    <w:rsid w:val="00087D6C"/>
    <w:rsid w:val="00095F22"/>
    <w:rsid w:val="00095FC2"/>
    <w:rsid w:val="000B28E6"/>
    <w:rsid w:val="001000A4"/>
    <w:rsid w:val="00100BB6"/>
    <w:rsid w:val="00106FF8"/>
    <w:rsid w:val="0013718B"/>
    <w:rsid w:val="00145C84"/>
    <w:rsid w:val="00181F9D"/>
    <w:rsid w:val="00185CE7"/>
    <w:rsid w:val="00192C07"/>
    <w:rsid w:val="001B23E8"/>
    <w:rsid w:val="001D00FE"/>
    <w:rsid w:val="001D0697"/>
    <w:rsid w:val="0020481B"/>
    <w:rsid w:val="00205BA9"/>
    <w:rsid w:val="0021666A"/>
    <w:rsid w:val="00225F92"/>
    <w:rsid w:val="00235066"/>
    <w:rsid w:val="00246BF0"/>
    <w:rsid w:val="00271FF1"/>
    <w:rsid w:val="0027442C"/>
    <w:rsid w:val="00275DFF"/>
    <w:rsid w:val="00276D90"/>
    <w:rsid w:val="0029390E"/>
    <w:rsid w:val="00296C0C"/>
    <w:rsid w:val="002B6A88"/>
    <w:rsid w:val="002E38DD"/>
    <w:rsid w:val="002F3C58"/>
    <w:rsid w:val="003027E6"/>
    <w:rsid w:val="00323CFF"/>
    <w:rsid w:val="003305A6"/>
    <w:rsid w:val="00340B0A"/>
    <w:rsid w:val="0034650C"/>
    <w:rsid w:val="00364D5F"/>
    <w:rsid w:val="00375E8E"/>
    <w:rsid w:val="003763E3"/>
    <w:rsid w:val="003806A0"/>
    <w:rsid w:val="003B0C50"/>
    <w:rsid w:val="003F1CAD"/>
    <w:rsid w:val="003F7C8A"/>
    <w:rsid w:val="00431557"/>
    <w:rsid w:val="00463385"/>
    <w:rsid w:val="00466526"/>
    <w:rsid w:val="00471D64"/>
    <w:rsid w:val="0049237B"/>
    <w:rsid w:val="0049698C"/>
    <w:rsid w:val="004A02B6"/>
    <w:rsid w:val="004A1B58"/>
    <w:rsid w:val="004A2CC8"/>
    <w:rsid w:val="004B192C"/>
    <w:rsid w:val="004B33CA"/>
    <w:rsid w:val="004D6945"/>
    <w:rsid w:val="004E560D"/>
    <w:rsid w:val="004F5EF3"/>
    <w:rsid w:val="005034A4"/>
    <w:rsid w:val="00511540"/>
    <w:rsid w:val="00512EAE"/>
    <w:rsid w:val="0055212D"/>
    <w:rsid w:val="005537E4"/>
    <w:rsid w:val="005910FF"/>
    <w:rsid w:val="00593BA1"/>
    <w:rsid w:val="005B496A"/>
    <w:rsid w:val="005C1647"/>
    <w:rsid w:val="005E2DE1"/>
    <w:rsid w:val="00601626"/>
    <w:rsid w:val="00625FE6"/>
    <w:rsid w:val="00641B85"/>
    <w:rsid w:val="00654357"/>
    <w:rsid w:val="0066186C"/>
    <w:rsid w:val="00685AA5"/>
    <w:rsid w:val="00696C5A"/>
    <w:rsid w:val="006973C5"/>
    <w:rsid w:val="00697F1B"/>
    <w:rsid w:val="006B74AC"/>
    <w:rsid w:val="006D45EC"/>
    <w:rsid w:val="0071718E"/>
    <w:rsid w:val="0072233E"/>
    <w:rsid w:val="00726E41"/>
    <w:rsid w:val="0073115D"/>
    <w:rsid w:val="00740571"/>
    <w:rsid w:val="00753BC5"/>
    <w:rsid w:val="00764232"/>
    <w:rsid w:val="007C6042"/>
    <w:rsid w:val="007E5475"/>
    <w:rsid w:val="007F2295"/>
    <w:rsid w:val="007F2B2C"/>
    <w:rsid w:val="00804669"/>
    <w:rsid w:val="00836B1E"/>
    <w:rsid w:val="00836C1F"/>
    <w:rsid w:val="008650DF"/>
    <w:rsid w:val="00873FD3"/>
    <w:rsid w:val="00895FD3"/>
    <w:rsid w:val="008B2BC5"/>
    <w:rsid w:val="008C242B"/>
    <w:rsid w:val="008C3104"/>
    <w:rsid w:val="008D398E"/>
    <w:rsid w:val="00910009"/>
    <w:rsid w:val="00910216"/>
    <w:rsid w:val="00920674"/>
    <w:rsid w:val="00942058"/>
    <w:rsid w:val="00947E7E"/>
    <w:rsid w:val="00970613"/>
    <w:rsid w:val="00971A4F"/>
    <w:rsid w:val="00973DEC"/>
    <w:rsid w:val="00986018"/>
    <w:rsid w:val="009B04D4"/>
    <w:rsid w:val="009B12B2"/>
    <w:rsid w:val="009C6AAE"/>
    <w:rsid w:val="009D78A0"/>
    <w:rsid w:val="00A1022F"/>
    <w:rsid w:val="00A17C70"/>
    <w:rsid w:val="00A35CBA"/>
    <w:rsid w:val="00A36369"/>
    <w:rsid w:val="00A474CF"/>
    <w:rsid w:val="00A47C10"/>
    <w:rsid w:val="00A6544E"/>
    <w:rsid w:val="00A773C8"/>
    <w:rsid w:val="00A80235"/>
    <w:rsid w:val="00A8645B"/>
    <w:rsid w:val="00A87F1E"/>
    <w:rsid w:val="00A91B20"/>
    <w:rsid w:val="00A975C4"/>
    <w:rsid w:val="00AA3B69"/>
    <w:rsid w:val="00AA7D80"/>
    <w:rsid w:val="00AB1C0F"/>
    <w:rsid w:val="00AD5947"/>
    <w:rsid w:val="00AD6846"/>
    <w:rsid w:val="00B0592A"/>
    <w:rsid w:val="00B0627B"/>
    <w:rsid w:val="00B071E5"/>
    <w:rsid w:val="00B1349F"/>
    <w:rsid w:val="00B13638"/>
    <w:rsid w:val="00B5092D"/>
    <w:rsid w:val="00B511D3"/>
    <w:rsid w:val="00B5742C"/>
    <w:rsid w:val="00B6650E"/>
    <w:rsid w:val="00B7529F"/>
    <w:rsid w:val="00B909DC"/>
    <w:rsid w:val="00B94D47"/>
    <w:rsid w:val="00B96879"/>
    <w:rsid w:val="00BA0885"/>
    <w:rsid w:val="00BB7828"/>
    <w:rsid w:val="00BC0826"/>
    <w:rsid w:val="00BF4C2D"/>
    <w:rsid w:val="00BF79DE"/>
    <w:rsid w:val="00C16830"/>
    <w:rsid w:val="00C662C3"/>
    <w:rsid w:val="00C71448"/>
    <w:rsid w:val="00C808EC"/>
    <w:rsid w:val="00CA2BEB"/>
    <w:rsid w:val="00CA63E4"/>
    <w:rsid w:val="00CB489B"/>
    <w:rsid w:val="00CD2632"/>
    <w:rsid w:val="00CD6326"/>
    <w:rsid w:val="00D00693"/>
    <w:rsid w:val="00D17FBD"/>
    <w:rsid w:val="00D4655F"/>
    <w:rsid w:val="00D54444"/>
    <w:rsid w:val="00D6642E"/>
    <w:rsid w:val="00DA0B59"/>
    <w:rsid w:val="00DB48C3"/>
    <w:rsid w:val="00DB7FE8"/>
    <w:rsid w:val="00DC0AEB"/>
    <w:rsid w:val="00DD14CC"/>
    <w:rsid w:val="00DD5047"/>
    <w:rsid w:val="00DE06F8"/>
    <w:rsid w:val="00DE2E3A"/>
    <w:rsid w:val="00DE4EF2"/>
    <w:rsid w:val="00DE5280"/>
    <w:rsid w:val="00E02DF7"/>
    <w:rsid w:val="00E159DD"/>
    <w:rsid w:val="00E35263"/>
    <w:rsid w:val="00E44382"/>
    <w:rsid w:val="00E46CFD"/>
    <w:rsid w:val="00E47999"/>
    <w:rsid w:val="00E66A16"/>
    <w:rsid w:val="00E82677"/>
    <w:rsid w:val="00EB2EAC"/>
    <w:rsid w:val="00EC4DB7"/>
    <w:rsid w:val="00ED175C"/>
    <w:rsid w:val="00ED5B92"/>
    <w:rsid w:val="00EF21C3"/>
    <w:rsid w:val="00F01F05"/>
    <w:rsid w:val="00F02382"/>
    <w:rsid w:val="00F05EF4"/>
    <w:rsid w:val="00F41D1C"/>
    <w:rsid w:val="00F45D10"/>
    <w:rsid w:val="00F6105E"/>
    <w:rsid w:val="00F806D9"/>
    <w:rsid w:val="00F8228D"/>
    <w:rsid w:val="00F92B55"/>
    <w:rsid w:val="00FD1805"/>
    <w:rsid w:val="00FD5340"/>
    <w:rsid w:val="00FE38B8"/>
    <w:rsid w:val="00FE6C84"/>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42B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FF9"/>
    <w:pPr>
      <w:widowControl w:val="0"/>
      <w:autoSpaceDE w:val="0"/>
      <w:autoSpaceDN w:val="0"/>
      <w:spacing w:after="0" w:line="240" w:lineRule="auto"/>
    </w:pPr>
    <w:rPr>
      <w:rFonts w:ascii="Garamond" w:eastAsia="Garamond" w:hAnsi="Garamond" w:cs="Garamond"/>
    </w:rPr>
  </w:style>
  <w:style w:type="paragraph" w:styleId="Heading1">
    <w:name w:val="heading 1"/>
    <w:basedOn w:val="Normal"/>
    <w:link w:val="Heading1Char"/>
    <w:uiPriority w:val="9"/>
    <w:qFormat/>
    <w:rsid w:val="00045FF9"/>
    <w:pPr>
      <w:ind w:left="1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FF9"/>
    <w:rPr>
      <w:rFonts w:ascii="Garamond" w:eastAsia="Garamond" w:hAnsi="Garamond" w:cs="Garamond"/>
      <w:b/>
      <w:bCs/>
      <w:sz w:val="24"/>
      <w:szCs w:val="24"/>
    </w:rPr>
  </w:style>
  <w:style w:type="paragraph" w:styleId="BodyText">
    <w:name w:val="Body Text"/>
    <w:basedOn w:val="Normal"/>
    <w:link w:val="BodyTextChar"/>
    <w:uiPriority w:val="1"/>
    <w:qFormat/>
    <w:rsid w:val="00045FF9"/>
    <w:rPr>
      <w:sz w:val="24"/>
      <w:szCs w:val="24"/>
    </w:rPr>
  </w:style>
  <w:style w:type="character" w:customStyle="1" w:styleId="BodyTextChar">
    <w:name w:val="Body Text Char"/>
    <w:basedOn w:val="DefaultParagraphFont"/>
    <w:link w:val="BodyText"/>
    <w:uiPriority w:val="1"/>
    <w:rsid w:val="00045FF9"/>
    <w:rPr>
      <w:rFonts w:ascii="Garamond" w:eastAsia="Garamond" w:hAnsi="Garamond" w:cs="Garamond"/>
      <w:sz w:val="24"/>
      <w:szCs w:val="24"/>
    </w:rPr>
  </w:style>
  <w:style w:type="paragraph" w:styleId="Footer">
    <w:name w:val="footer"/>
    <w:basedOn w:val="Normal"/>
    <w:link w:val="FooterChar"/>
    <w:uiPriority w:val="99"/>
    <w:unhideWhenUsed/>
    <w:rsid w:val="00045FF9"/>
    <w:pPr>
      <w:tabs>
        <w:tab w:val="center" w:pos="4680"/>
        <w:tab w:val="right" w:pos="9360"/>
      </w:tabs>
    </w:pPr>
  </w:style>
  <w:style w:type="character" w:customStyle="1" w:styleId="FooterChar">
    <w:name w:val="Footer Char"/>
    <w:basedOn w:val="DefaultParagraphFont"/>
    <w:link w:val="Footer"/>
    <w:uiPriority w:val="99"/>
    <w:rsid w:val="00045FF9"/>
    <w:rPr>
      <w:rFonts w:ascii="Garamond" w:eastAsia="Garamond" w:hAnsi="Garamond" w:cs="Garamond"/>
    </w:rPr>
  </w:style>
  <w:style w:type="paragraph" w:styleId="NormalWeb">
    <w:name w:val="Normal (Web)"/>
    <w:basedOn w:val="Normal"/>
    <w:uiPriority w:val="99"/>
    <w:semiHidden/>
    <w:unhideWhenUsed/>
    <w:rsid w:val="00045FF9"/>
    <w:pPr>
      <w:widowControl/>
      <w:autoSpaceDE/>
      <w:autoSpaceDN/>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045FF9"/>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Infotext">
    <w:name w:val="Policy Info text"/>
    <w:basedOn w:val="Normal"/>
    <w:autoRedefine/>
    <w:rsid w:val="00045FF9"/>
    <w:pPr>
      <w:widowControl/>
      <w:autoSpaceDE/>
      <w:autoSpaceDN/>
      <w:ind w:left="180"/>
    </w:pPr>
    <w:rPr>
      <w:rFonts w:eastAsia="Times New Roman" w:cs="Times New Roman"/>
      <w:sz w:val="18"/>
      <w:szCs w:val="20"/>
    </w:rPr>
  </w:style>
  <w:style w:type="character" w:styleId="CommentReference">
    <w:name w:val="annotation reference"/>
    <w:basedOn w:val="DefaultParagraphFont"/>
    <w:uiPriority w:val="99"/>
    <w:semiHidden/>
    <w:unhideWhenUsed/>
    <w:rsid w:val="00045FF9"/>
    <w:rPr>
      <w:sz w:val="16"/>
      <w:szCs w:val="16"/>
    </w:rPr>
  </w:style>
  <w:style w:type="paragraph" w:styleId="CommentText">
    <w:name w:val="annotation text"/>
    <w:basedOn w:val="Normal"/>
    <w:link w:val="CommentTextChar"/>
    <w:uiPriority w:val="99"/>
    <w:semiHidden/>
    <w:unhideWhenUsed/>
    <w:rsid w:val="00045FF9"/>
    <w:rPr>
      <w:sz w:val="20"/>
      <w:szCs w:val="20"/>
    </w:rPr>
  </w:style>
  <w:style w:type="character" w:customStyle="1" w:styleId="CommentTextChar">
    <w:name w:val="Comment Text Char"/>
    <w:basedOn w:val="DefaultParagraphFont"/>
    <w:link w:val="CommentText"/>
    <w:uiPriority w:val="99"/>
    <w:semiHidden/>
    <w:rsid w:val="00045FF9"/>
    <w:rPr>
      <w:rFonts w:ascii="Garamond" w:eastAsia="Garamond" w:hAnsi="Garamond" w:cs="Garamond"/>
      <w:sz w:val="20"/>
      <w:szCs w:val="20"/>
    </w:rPr>
  </w:style>
  <w:style w:type="character" w:styleId="Hyperlink">
    <w:name w:val="Hyperlink"/>
    <w:basedOn w:val="DefaultParagraphFont"/>
    <w:uiPriority w:val="99"/>
    <w:unhideWhenUsed/>
    <w:rsid w:val="00045FF9"/>
    <w:rPr>
      <w:color w:val="0000FF"/>
      <w:u w:val="single"/>
    </w:rPr>
  </w:style>
  <w:style w:type="paragraph" w:styleId="CommentSubject">
    <w:name w:val="annotation subject"/>
    <w:basedOn w:val="CommentText"/>
    <w:next w:val="CommentText"/>
    <w:link w:val="CommentSubjectChar"/>
    <w:uiPriority w:val="99"/>
    <w:semiHidden/>
    <w:unhideWhenUsed/>
    <w:rsid w:val="00095FC2"/>
    <w:rPr>
      <w:b/>
      <w:bCs/>
    </w:rPr>
  </w:style>
  <w:style w:type="character" w:customStyle="1" w:styleId="CommentSubjectChar">
    <w:name w:val="Comment Subject Char"/>
    <w:basedOn w:val="CommentTextChar"/>
    <w:link w:val="CommentSubject"/>
    <w:uiPriority w:val="99"/>
    <w:semiHidden/>
    <w:rsid w:val="00095FC2"/>
    <w:rPr>
      <w:rFonts w:ascii="Garamond" w:eastAsia="Garamond" w:hAnsi="Garamond" w:cs="Garamond"/>
      <w:b/>
      <w:bCs/>
      <w:sz w:val="20"/>
      <w:szCs w:val="20"/>
    </w:rPr>
  </w:style>
  <w:style w:type="paragraph" w:styleId="Revision">
    <w:name w:val="Revision"/>
    <w:hidden/>
    <w:uiPriority w:val="99"/>
    <w:semiHidden/>
    <w:rsid w:val="0034650C"/>
    <w:pPr>
      <w:spacing w:after="0" w:line="240" w:lineRule="auto"/>
    </w:pPr>
    <w:rPr>
      <w:rFonts w:ascii="Garamond" w:eastAsia="Garamond" w:hAnsi="Garamond" w:cs="Garamond"/>
    </w:rPr>
  </w:style>
  <w:style w:type="paragraph" w:styleId="BalloonText">
    <w:name w:val="Balloon Text"/>
    <w:basedOn w:val="Normal"/>
    <w:link w:val="BalloonTextChar"/>
    <w:uiPriority w:val="99"/>
    <w:semiHidden/>
    <w:unhideWhenUsed/>
    <w:rsid w:val="00CA63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3E4"/>
    <w:rPr>
      <w:rFonts w:ascii="Segoe UI" w:eastAsia="Garamond" w:hAnsi="Segoe UI" w:cs="Segoe UI"/>
      <w:sz w:val="18"/>
      <w:szCs w:val="18"/>
    </w:rPr>
  </w:style>
  <w:style w:type="character" w:styleId="UnresolvedMention">
    <w:name w:val="Unresolved Mention"/>
    <w:basedOn w:val="DefaultParagraphFont"/>
    <w:uiPriority w:val="99"/>
    <w:semiHidden/>
    <w:unhideWhenUsed/>
    <w:rsid w:val="00C662C3"/>
    <w:rPr>
      <w:color w:val="605E5C"/>
      <w:shd w:val="clear" w:color="auto" w:fill="E1DFDD"/>
    </w:rPr>
  </w:style>
  <w:style w:type="paragraph" w:styleId="Header">
    <w:name w:val="header"/>
    <w:basedOn w:val="Normal"/>
    <w:link w:val="HeaderChar"/>
    <w:uiPriority w:val="99"/>
    <w:unhideWhenUsed/>
    <w:rsid w:val="00970613"/>
    <w:pPr>
      <w:tabs>
        <w:tab w:val="center" w:pos="4419"/>
        <w:tab w:val="right" w:pos="8838"/>
      </w:tabs>
    </w:pPr>
  </w:style>
  <w:style w:type="character" w:customStyle="1" w:styleId="HeaderChar">
    <w:name w:val="Header Char"/>
    <w:basedOn w:val="DefaultParagraphFont"/>
    <w:link w:val="Header"/>
    <w:uiPriority w:val="99"/>
    <w:rsid w:val="00970613"/>
    <w:rPr>
      <w:rFonts w:ascii="Garamond" w:eastAsia="Garamond" w:hAnsi="Garamond" w:cs="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57F85.A5D734E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secure.ethicspoint.com/domain/media/en/gui/7424/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DBA69-3A71-43D0-A19F-B325D8277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1963</Words>
  <Characters>10547</Characters>
  <Application>Microsoft Office Word</Application>
  <DocSecurity>0</DocSecurity>
  <Lines>159</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12483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2022-08-30T14:09:00Z</dcterms:created>
  <dcterms:modified xsi:type="dcterms:W3CDTF">2022-08-30T14:09:00Z</dcterms:modified>
  <cp:category/>
</cp:coreProperties>
</file>